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keepNext w:val="0"/>
        <w:keepLines w:val="0"/>
        <w:pageBreakBefore w:val="0"/>
        <w:widowControl w:val="0"/>
        <w:kinsoku/>
        <w:wordWrap/>
        <w:overflowPunct/>
        <w:topLinePunct w:val="0"/>
        <w:autoSpaceDE/>
        <w:autoSpaceDN/>
        <w:bidi w:val="0"/>
        <w:adjustRightInd w:val="0"/>
        <w:snapToGrid w:val="0"/>
        <w:spacing w:before="0" w:beforeLines="0" w:after="0" w:afterLines="0" w:line="300" w:lineRule="auto"/>
        <w:ind w:left="0" w:leftChars="0" w:right="0" w:rightChars="0" w:firstLine="0" w:firstLineChars="0"/>
        <w:jc w:val="center"/>
        <w:textAlignment w:val="auto"/>
        <w:outlineLvl w:val="9"/>
        <w:rPr>
          <w:rFonts w:hint="eastAsia" w:ascii="宋体" w:hAnsi="宋体" w:eastAsia="宋体" w:cs="宋体"/>
          <w:b/>
          <w:bCs/>
          <w:spacing w:val="6"/>
          <w:sz w:val="44"/>
          <w:szCs w:val="44"/>
          <w:lang w:eastAsia="zh-CN"/>
        </w:rPr>
      </w:pPr>
      <w:bookmarkStart w:id="0" w:name="_Toc20626"/>
      <w:bookmarkStart w:id="1" w:name="_Toc459120949"/>
      <w:bookmarkStart w:id="2" w:name="_Toc466641273"/>
      <w:bookmarkStart w:id="3" w:name="_Toc450029648"/>
      <w:r>
        <w:rPr>
          <w:rFonts w:hint="eastAsia" w:ascii="宋体" w:hAnsi="宋体" w:eastAsia="宋体" w:cs="宋体"/>
          <w:b/>
          <w:bCs/>
          <w:spacing w:val="6"/>
          <w:sz w:val="44"/>
          <w:szCs w:val="44"/>
          <w:lang w:eastAsia="zh-CN"/>
        </w:rPr>
        <w:t>“</w:t>
      </w:r>
      <w:r>
        <w:rPr>
          <w:rFonts w:hint="eastAsia" w:ascii="宋体" w:hAnsi="宋体" w:eastAsia="宋体" w:cs="宋体"/>
          <w:b/>
          <w:bCs/>
          <w:spacing w:val="6"/>
          <w:sz w:val="44"/>
          <w:szCs w:val="44"/>
        </w:rPr>
        <w:t>中医药现代化研究</w:t>
      </w:r>
      <w:r>
        <w:rPr>
          <w:rFonts w:hint="eastAsia" w:ascii="宋体" w:hAnsi="宋体" w:eastAsia="宋体" w:cs="宋体"/>
          <w:b/>
          <w:bCs/>
          <w:spacing w:val="6"/>
          <w:sz w:val="44"/>
          <w:szCs w:val="44"/>
          <w:lang w:eastAsia="zh-CN"/>
        </w:rPr>
        <w:t>”</w:t>
      </w:r>
      <w:bookmarkEnd w:id="0"/>
      <w:bookmarkStart w:id="4" w:name="_Toc25904"/>
    </w:p>
    <w:p>
      <w:pPr>
        <w:keepNext w:val="0"/>
        <w:keepLines w:val="0"/>
        <w:pageBreakBefore w:val="0"/>
        <w:widowControl w:val="0"/>
        <w:kinsoku/>
        <w:wordWrap/>
        <w:overflowPunct/>
        <w:topLinePunct w:val="0"/>
        <w:autoSpaceDE/>
        <w:autoSpaceDN/>
        <w:bidi w:val="0"/>
        <w:adjustRightInd w:val="0"/>
        <w:snapToGrid w:val="0"/>
        <w:spacing w:before="0" w:beforeLines="0" w:after="0" w:afterLines="0" w:line="300" w:lineRule="auto"/>
        <w:ind w:left="0" w:leftChars="0" w:right="0" w:rightChars="0" w:firstLine="0" w:firstLineChars="0"/>
        <w:jc w:val="center"/>
        <w:textAlignment w:val="auto"/>
        <w:outlineLvl w:val="9"/>
        <w:rPr>
          <w:rFonts w:hint="eastAsia" w:ascii="宋体" w:hAnsi="宋体" w:eastAsia="宋体" w:cs="宋体"/>
          <w:b/>
          <w:bCs/>
          <w:spacing w:val="6"/>
          <w:sz w:val="44"/>
          <w:szCs w:val="44"/>
        </w:rPr>
      </w:pPr>
      <w:r>
        <w:rPr>
          <w:rFonts w:hint="eastAsia" w:ascii="宋体" w:hAnsi="宋体" w:eastAsia="宋体" w:cs="宋体"/>
          <w:b/>
          <w:bCs/>
          <w:spacing w:val="6"/>
          <w:sz w:val="44"/>
          <w:szCs w:val="44"/>
        </w:rPr>
        <w:t>重点专项201</w:t>
      </w:r>
      <w:r>
        <w:rPr>
          <w:rFonts w:hint="eastAsia" w:ascii="宋体" w:hAnsi="宋体" w:eastAsia="宋体" w:cs="宋体"/>
          <w:b/>
          <w:bCs/>
          <w:spacing w:val="6"/>
          <w:sz w:val="44"/>
          <w:szCs w:val="44"/>
          <w:lang w:val="en-US" w:eastAsia="zh-CN"/>
        </w:rPr>
        <w:t>8</w:t>
      </w:r>
      <w:r>
        <w:rPr>
          <w:rFonts w:hint="eastAsia" w:ascii="宋体" w:hAnsi="宋体" w:eastAsia="宋体" w:cs="宋体"/>
          <w:b/>
          <w:bCs/>
          <w:spacing w:val="6"/>
          <w:sz w:val="44"/>
          <w:szCs w:val="44"/>
        </w:rPr>
        <w:t>年</w:t>
      </w:r>
      <w:r>
        <w:rPr>
          <w:rFonts w:hint="eastAsia" w:ascii="宋体" w:hAnsi="宋体" w:eastAsia="宋体" w:cs="宋体"/>
          <w:b/>
          <w:bCs/>
          <w:spacing w:val="6"/>
          <w:sz w:val="44"/>
          <w:szCs w:val="44"/>
          <w:lang w:eastAsia="zh-CN"/>
        </w:rPr>
        <w:t>度项目</w:t>
      </w:r>
      <w:r>
        <w:rPr>
          <w:rFonts w:hint="eastAsia" w:ascii="宋体" w:hAnsi="宋体" w:eastAsia="宋体" w:cs="宋体"/>
          <w:b/>
          <w:bCs/>
          <w:spacing w:val="6"/>
          <w:sz w:val="44"/>
          <w:szCs w:val="44"/>
        </w:rPr>
        <w:t>申报指南</w:t>
      </w:r>
      <w:bookmarkEnd w:id="4"/>
    </w:p>
    <w:p>
      <w:pPr>
        <w:keepNext w:val="0"/>
        <w:keepLines w:val="0"/>
        <w:pageBreakBefore w:val="0"/>
        <w:widowControl w:val="0"/>
        <w:kinsoku/>
        <w:wordWrap/>
        <w:overflowPunct/>
        <w:topLinePunct w:val="0"/>
        <w:autoSpaceDE/>
        <w:autoSpaceDN/>
        <w:bidi w:val="0"/>
        <w:adjustRightInd w:val="0"/>
        <w:snapToGrid w:val="0"/>
        <w:spacing w:before="0" w:beforeLines="0" w:after="0" w:afterLines="0" w:line="300" w:lineRule="auto"/>
        <w:ind w:left="0" w:leftChars="0" w:right="0" w:rightChars="0" w:firstLine="0" w:firstLineChars="0"/>
        <w:jc w:val="center"/>
        <w:textAlignment w:val="auto"/>
        <w:outlineLvl w:val="9"/>
        <w:rPr>
          <w:rFonts w:hint="eastAsia" w:ascii="仿宋_GB2312" w:hAnsi="仿宋_GB2312" w:eastAsia="仿宋_GB2312" w:cs="仿宋_GB2312"/>
          <w:b/>
          <w:bCs/>
          <w:spacing w:val="6"/>
          <w:sz w:val="32"/>
          <w:szCs w:val="32"/>
        </w:rPr>
      </w:pPr>
      <w:r>
        <w:rPr>
          <w:rFonts w:hint="eastAsia" w:ascii="宋体" w:hAnsi="宋体" w:eastAsia="宋体" w:cs="宋体"/>
          <w:b/>
          <w:bCs/>
          <w:spacing w:val="6"/>
          <w:sz w:val="32"/>
          <w:szCs w:val="32"/>
          <w:lang w:eastAsia="zh-CN"/>
        </w:rPr>
        <w:t>（征求意见稿）</w:t>
      </w:r>
    </w:p>
    <w:p>
      <w:pPr>
        <w:pStyle w:val="2"/>
        <w:keepNext w:val="0"/>
        <w:keepLines w:val="0"/>
        <w:pageBreakBefore w:val="0"/>
        <w:widowControl w:val="0"/>
        <w:kinsoku/>
        <w:wordWrap/>
        <w:overflowPunct/>
        <w:topLinePunct w:val="0"/>
        <w:bidi w:val="0"/>
        <w:adjustRightInd w:val="0"/>
        <w:snapToGrid w:val="0"/>
        <w:spacing w:before="0" w:after="0" w:line="360" w:lineRule="auto"/>
        <w:ind w:left="0" w:leftChars="0" w:right="0" w:rightChars="0" w:firstLine="880" w:firstLineChars="200"/>
        <w:textAlignment w:val="auto"/>
        <w:rPr>
          <w:rFonts w:hint="eastAsia" w:ascii="仿宋_GB2312" w:hAnsi="仿宋_GB2312" w:eastAsia="仿宋_GB2312" w:cs="仿宋_GB2312"/>
          <w:b w:val="0"/>
          <w:bCs w:val="0"/>
          <w:color w:val="auto"/>
          <w:sz w:val="44"/>
          <w:szCs w:val="44"/>
        </w:rPr>
      </w:pPr>
      <w:bookmarkStart w:id="120" w:name="_GoBack"/>
      <w:bookmarkEnd w:id="120"/>
      <w:bookmarkStart w:id="5" w:name="_Toc29380"/>
    </w:p>
    <w:p>
      <w:pPr>
        <w:pStyle w:val="2"/>
        <w:keepNext w:val="0"/>
        <w:keepLines w:val="0"/>
        <w:pageBreakBefore w:val="0"/>
        <w:widowControl w:val="0"/>
        <w:kinsoku/>
        <w:wordWrap/>
        <w:overflowPunct/>
        <w:topLinePunct w:val="0"/>
        <w:bidi w:val="0"/>
        <w:adjustRightInd w:val="0"/>
        <w:snapToGrid w:val="0"/>
        <w:spacing w:before="0" w:after="0" w:line="360" w:lineRule="auto"/>
        <w:ind w:left="0" w:leftChars="0" w:right="0" w:rightChars="0" w:firstLine="640" w:firstLineChars="200"/>
        <w:textAlignment w:val="auto"/>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rPr>
        <w:t>本专项的总体目标是：突出中医药的优势特色，继承与创新相结合，充分利用现代科技，加强中医原创理论创新及中医药的现代传承研究，加快中医四诊客观化、中医</w:t>
      </w:r>
      <w:r>
        <w:rPr>
          <w:rFonts w:hint="eastAsia" w:ascii="仿宋_GB2312" w:hAnsi="仿宋_GB2312" w:eastAsia="仿宋_GB2312" w:cs="仿宋_GB2312"/>
          <w:b w:val="0"/>
          <w:bCs w:val="0"/>
          <w:color w:val="auto"/>
          <w:sz w:val="32"/>
          <w:szCs w:val="32"/>
          <w:lang w:eastAsia="zh-CN"/>
        </w:rPr>
        <w:t>“</w:t>
      </w:r>
      <w:r>
        <w:rPr>
          <w:rFonts w:hint="eastAsia" w:ascii="仿宋_GB2312" w:hAnsi="仿宋_GB2312" w:eastAsia="仿宋_GB2312" w:cs="仿宋_GB2312"/>
          <w:b w:val="0"/>
          <w:bCs w:val="0"/>
          <w:color w:val="auto"/>
          <w:sz w:val="32"/>
          <w:szCs w:val="32"/>
        </w:rPr>
        <w:t>治未病</w:t>
      </w:r>
      <w:r>
        <w:rPr>
          <w:rFonts w:hint="eastAsia" w:ascii="仿宋_GB2312" w:hAnsi="仿宋_GB2312" w:eastAsia="仿宋_GB2312" w:cs="仿宋_GB2312"/>
          <w:b w:val="0"/>
          <w:bCs w:val="0"/>
          <w:color w:val="auto"/>
          <w:sz w:val="32"/>
          <w:szCs w:val="32"/>
          <w:lang w:eastAsia="zh-CN"/>
        </w:rPr>
        <w:t>”</w:t>
      </w:r>
      <w:r>
        <w:rPr>
          <w:rFonts w:hint="eastAsia" w:ascii="仿宋_GB2312" w:hAnsi="仿宋_GB2312" w:eastAsia="仿宋_GB2312" w:cs="仿宋_GB2312"/>
          <w:b w:val="0"/>
          <w:bCs w:val="0"/>
          <w:color w:val="auto"/>
          <w:sz w:val="32"/>
          <w:szCs w:val="32"/>
        </w:rPr>
        <w:t>、中药材生态种植、中药复方精准用药等关键技术突破，制定一批中医药防治重大疾病和疑难疾病的临床方案，开发一批中医药健康产品，提升中医药国际科技合作层次，加快中医药服务的现代提升和中医药大健康产业的发展。</w:t>
      </w:r>
      <w:bookmarkEnd w:id="5"/>
    </w:p>
    <w:p>
      <w:pPr>
        <w:pStyle w:val="2"/>
        <w:keepNext w:val="0"/>
        <w:keepLines w:val="0"/>
        <w:pageBreakBefore w:val="0"/>
        <w:widowControl w:val="0"/>
        <w:kinsoku/>
        <w:wordWrap/>
        <w:overflowPunct/>
        <w:topLinePunct w:val="0"/>
        <w:bidi w:val="0"/>
        <w:adjustRightInd w:val="0"/>
        <w:snapToGrid w:val="0"/>
        <w:spacing w:before="0" w:after="0" w:line="360" w:lineRule="auto"/>
        <w:ind w:left="0" w:leftChars="0" w:right="0" w:rightChars="0" w:firstLine="640" w:firstLineChars="200"/>
        <w:textAlignment w:val="auto"/>
        <w:rPr>
          <w:rFonts w:hint="eastAsia" w:ascii="仿宋_GB2312" w:hAnsi="仿宋_GB2312" w:eastAsia="仿宋_GB2312" w:cs="仿宋_GB2312"/>
          <w:b w:val="0"/>
          <w:bCs w:val="0"/>
          <w:color w:val="auto"/>
          <w:sz w:val="32"/>
          <w:szCs w:val="32"/>
        </w:rPr>
      </w:pPr>
      <w:bookmarkStart w:id="6" w:name="_Toc12785"/>
      <w:r>
        <w:rPr>
          <w:rFonts w:hint="eastAsia" w:ascii="仿宋_GB2312" w:hAnsi="仿宋_GB2312" w:eastAsia="仿宋_GB2312" w:cs="仿宋_GB2312"/>
          <w:b w:val="0"/>
          <w:bCs w:val="0"/>
          <w:color w:val="auto"/>
          <w:sz w:val="32"/>
          <w:szCs w:val="32"/>
        </w:rPr>
        <w:t>本专项以中医药防治重大疾病、中医</w:t>
      </w:r>
      <w:r>
        <w:rPr>
          <w:rFonts w:hint="eastAsia" w:ascii="仿宋_GB2312" w:hAnsi="仿宋_GB2312" w:eastAsia="仿宋_GB2312" w:cs="仿宋_GB2312"/>
          <w:b w:val="0"/>
          <w:bCs w:val="0"/>
          <w:color w:val="auto"/>
          <w:sz w:val="32"/>
          <w:szCs w:val="32"/>
          <w:lang w:eastAsia="zh-CN"/>
        </w:rPr>
        <w:t>“</w:t>
      </w:r>
      <w:r>
        <w:rPr>
          <w:rFonts w:hint="eastAsia" w:ascii="仿宋_GB2312" w:hAnsi="仿宋_GB2312" w:eastAsia="仿宋_GB2312" w:cs="仿宋_GB2312"/>
          <w:b w:val="0"/>
          <w:bCs w:val="0"/>
          <w:color w:val="auto"/>
          <w:sz w:val="32"/>
          <w:szCs w:val="32"/>
        </w:rPr>
        <w:t>治未病</w:t>
      </w:r>
      <w:r>
        <w:rPr>
          <w:rFonts w:hint="eastAsia" w:ascii="仿宋_GB2312" w:hAnsi="仿宋_GB2312" w:eastAsia="仿宋_GB2312" w:cs="仿宋_GB2312"/>
          <w:b w:val="0"/>
          <w:bCs w:val="0"/>
          <w:color w:val="auto"/>
          <w:sz w:val="32"/>
          <w:szCs w:val="32"/>
          <w:lang w:eastAsia="zh-CN"/>
        </w:rPr>
        <w:t>”</w:t>
      </w:r>
      <w:r>
        <w:rPr>
          <w:rFonts w:hint="eastAsia" w:ascii="仿宋_GB2312" w:hAnsi="仿宋_GB2312" w:eastAsia="仿宋_GB2312" w:cs="仿宋_GB2312"/>
          <w:b w:val="0"/>
          <w:bCs w:val="0"/>
          <w:color w:val="auto"/>
          <w:sz w:val="32"/>
          <w:szCs w:val="32"/>
        </w:rPr>
        <w:t>、中药开发及质量控制三大领域为重点，从基础、临床、产业三个环节进行全链条、一体化设计，将专项研究任务分解为中医药理论传承与创新、中医药防治重大疾病、中药资源保障、中医药大健康产业科技示范、中医药国际化、民族医药传承与创新等6大任务，201</w:t>
      </w:r>
      <w:r>
        <w:rPr>
          <w:rFonts w:hint="eastAsia" w:ascii="仿宋_GB2312" w:hAnsi="仿宋_GB2312" w:eastAsia="仿宋_GB2312" w:cs="仿宋_GB2312"/>
          <w:b w:val="0"/>
          <w:bCs w:val="0"/>
          <w:color w:val="auto"/>
          <w:sz w:val="32"/>
          <w:szCs w:val="32"/>
          <w:lang w:val="en-US" w:eastAsia="zh-CN"/>
        </w:rPr>
        <w:t>8</w:t>
      </w:r>
      <w:r>
        <w:rPr>
          <w:rFonts w:hint="eastAsia" w:ascii="仿宋_GB2312" w:hAnsi="仿宋_GB2312" w:eastAsia="仿宋_GB2312" w:cs="仿宋_GB2312"/>
          <w:b w:val="0"/>
          <w:bCs w:val="0"/>
          <w:color w:val="auto"/>
          <w:sz w:val="32"/>
          <w:szCs w:val="32"/>
        </w:rPr>
        <w:t>年将在上述6大任务部署</w:t>
      </w:r>
      <w:r>
        <w:rPr>
          <w:rFonts w:hint="eastAsia" w:ascii="仿宋_GB2312" w:hAnsi="仿宋_GB2312" w:eastAsia="仿宋_GB2312" w:cs="仿宋_GB2312"/>
          <w:b w:val="0"/>
          <w:bCs w:val="0"/>
          <w:color w:val="auto"/>
          <w:sz w:val="32"/>
          <w:szCs w:val="32"/>
          <w:highlight w:val="none"/>
          <w:lang w:val="en-US" w:eastAsia="zh-CN"/>
        </w:rPr>
        <w:t>25</w:t>
      </w:r>
      <w:r>
        <w:rPr>
          <w:rFonts w:hint="eastAsia" w:ascii="仿宋_GB2312" w:hAnsi="仿宋_GB2312" w:eastAsia="仿宋_GB2312" w:cs="仿宋_GB2312"/>
          <w:b w:val="0"/>
          <w:bCs w:val="0"/>
          <w:color w:val="auto"/>
          <w:sz w:val="32"/>
          <w:szCs w:val="32"/>
          <w:highlight w:val="none"/>
        </w:rPr>
        <w:t>个研究方向，经费总概算约为</w:t>
      </w:r>
      <w:r>
        <w:rPr>
          <w:rFonts w:hint="eastAsia" w:ascii="仿宋_GB2312" w:hAnsi="仿宋_GB2312" w:eastAsia="仿宋_GB2312" w:cs="仿宋_GB2312"/>
          <w:b w:val="0"/>
          <w:bCs w:val="0"/>
          <w:color w:val="auto"/>
          <w:sz w:val="32"/>
          <w:szCs w:val="32"/>
          <w:highlight w:val="none"/>
          <w:lang w:val="en-US" w:eastAsia="zh-CN"/>
        </w:rPr>
        <w:t>6</w:t>
      </w:r>
      <w:r>
        <w:rPr>
          <w:rFonts w:hint="eastAsia" w:ascii="仿宋_GB2312" w:hAnsi="仿宋_GB2312" w:eastAsia="仿宋_GB2312" w:cs="仿宋_GB2312"/>
          <w:b w:val="0"/>
          <w:bCs w:val="0"/>
          <w:color w:val="auto"/>
          <w:sz w:val="32"/>
          <w:szCs w:val="32"/>
          <w:highlight w:val="none"/>
        </w:rPr>
        <w:t>亿元</w:t>
      </w:r>
      <w:r>
        <w:rPr>
          <w:rFonts w:hint="eastAsia" w:ascii="仿宋_GB2312" w:hAnsi="仿宋_GB2312" w:eastAsia="仿宋_GB2312" w:cs="仿宋_GB2312"/>
          <w:b w:val="0"/>
          <w:bCs w:val="0"/>
          <w:color w:val="auto"/>
          <w:sz w:val="32"/>
          <w:szCs w:val="32"/>
        </w:rPr>
        <w:t>。</w:t>
      </w:r>
      <w:bookmarkEnd w:id="6"/>
    </w:p>
    <w:p>
      <w:pPr>
        <w:pStyle w:val="2"/>
        <w:keepNext w:val="0"/>
        <w:keepLines w:val="0"/>
        <w:pageBreakBefore w:val="0"/>
        <w:widowControl w:val="0"/>
        <w:kinsoku/>
        <w:wordWrap/>
        <w:overflowPunct/>
        <w:topLinePunct w:val="0"/>
        <w:bidi w:val="0"/>
        <w:adjustRightInd w:val="0"/>
        <w:snapToGrid w:val="0"/>
        <w:spacing w:before="0" w:after="0" w:line="360" w:lineRule="auto"/>
        <w:ind w:left="0" w:leftChars="0" w:right="0" w:rightChars="0" w:firstLine="643" w:firstLineChars="200"/>
        <w:textAlignment w:val="auto"/>
        <w:rPr>
          <w:rFonts w:hint="eastAsia" w:ascii="仿宋_GB2312" w:hAnsi="仿宋_GB2312" w:eastAsia="仿宋_GB2312" w:cs="仿宋_GB2312"/>
          <w:color w:val="auto"/>
          <w:sz w:val="32"/>
          <w:szCs w:val="32"/>
        </w:rPr>
      </w:pPr>
      <w:bookmarkStart w:id="7" w:name="_Toc7710"/>
      <w:r>
        <w:rPr>
          <w:rFonts w:hint="eastAsia" w:ascii="仿宋_GB2312" w:hAnsi="仿宋_GB2312" w:eastAsia="仿宋_GB2312" w:cs="仿宋_GB2312"/>
          <w:color w:val="auto"/>
          <w:sz w:val="32"/>
          <w:szCs w:val="32"/>
        </w:rPr>
        <w:t>1中医药理论传承与创新</w:t>
      </w:r>
      <w:bookmarkEnd w:id="1"/>
      <w:bookmarkEnd w:id="2"/>
      <w:bookmarkEnd w:id="3"/>
      <w:bookmarkEnd w:id="7"/>
    </w:p>
    <w:p>
      <w:pPr>
        <w:pStyle w:val="3"/>
        <w:keepNext w:val="0"/>
        <w:keepLines w:val="0"/>
        <w:pageBreakBefore w:val="0"/>
        <w:widowControl w:val="0"/>
        <w:kinsoku/>
        <w:wordWrap/>
        <w:overflowPunct/>
        <w:topLinePunct w:val="0"/>
        <w:bidi w:val="0"/>
        <w:adjustRightInd w:val="0"/>
        <w:snapToGrid w:val="0"/>
        <w:spacing w:before="0" w:after="0" w:line="360" w:lineRule="auto"/>
        <w:ind w:left="0" w:leftChars="0" w:right="0" w:rightChars="0" w:firstLine="643" w:firstLineChars="200"/>
        <w:textAlignment w:val="auto"/>
        <w:rPr>
          <w:rFonts w:hint="eastAsia" w:ascii="仿宋_GB2312" w:hAnsi="仿宋_GB2312" w:eastAsia="仿宋_GB2312" w:cs="仿宋_GB2312"/>
          <w:color w:val="auto"/>
          <w:sz w:val="32"/>
          <w:szCs w:val="32"/>
        </w:rPr>
      </w:pPr>
      <w:bookmarkStart w:id="8" w:name="_Toc459120960"/>
      <w:bookmarkStart w:id="9" w:name="_Toc450029660"/>
      <w:bookmarkStart w:id="10" w:name="_Toc30764"/>
      <w:bookmarkStart w:id="11" w:name="_Toc466641284"/>
      <w:bookmarkStart w:id="12" w:name="_Toc459120950"/>
      <w:bookmarkStart w:id="13" w:name="_Toc466641274"/>
      <w:r>
        <w:rPr>
          <w:rFonts w:hint="eastAsia" w:ascii="仿宋_GB2312" w:hAnsi="仿宋_GB2312" w:eastAsia="仿宋_GB2312" w:cs="仿宋_GB2312"/>
          <w:color w:val="auto"/>
          <w:sz w:val="32"/>
          <w:szCs w:val="32"/>
        </w:rPr>
        <w:t>1.1名老中医和民间医药现代传承研究</w:t>
      </w:r>
      <w:bookmarkEnd w:id="8"/>
      <w:bookmarkEnd w:id="9"/>
      <w:bookmarkEnd w:id="10"/>
      <w:bookmarkEnd w:id="11"/>
    </w:p>
    <w:p>
      <w:pPr>
        <w:pStyle w:val="4"/>
        <w:keepNext w:val="0"/>
        <w:keepLines w:val="0"/>
        <w:pageBreakBefore w:val="0"/>
        <w:widowControl w:val="0"/>
        <w:kinsoku/>
        <w:wordWrap/>
        <w:overflowPunct/>
        <w:topLinePunct w:val="0"/>
        <w:bidi w:val="0"/>
        <w:adjustRightInd w:val="0"/>
        <w:snapToGrid w:val="0"/>
        <w:spacing w:before="0" w:after="0" w:line="360" w:lineRule="auto"/>
        <w:ind w:left="0" w:leftChars="0" w:right="0" w:rightChars="0" w:firstLine="643" w:firstLineChars="200"/>
        <w:textAlignment w:val="auto"/>
        <w:rPr>
          <w:rFonts w:hint="eastAsia" w:ascii="仿宋_GB2312" w:hAnsi="仿宋_GB2312" w:eastAsia="仿宋_GB2312" w:cs="仿宋_GB2312"/>
          <w:b/>
          <w:bCs/>
          <w:color w:val="auto"/>
          <w:sz w:val="32"/>
          <w:szCs w:val="32"/>
          <w:highlight w:val="yellow"/>
          <w:lang w:eastAsia="zh-CN"/>
        </w:rPr>
      </w:pPr>
      <w:bookmarkStart w:id="14" w:name="_Toc31534"/>
      <w:bookmarkStart w:id="15" w:name="_Toc459120961"/>
      <w:bookmarkStart w:id="16" w:name="_Toc466641285"/>
      <w:r>
        <w:rPr>
          <w:rFonts w:hint="eastAsia" w:ascii="仿宋_GB2312" w:hAnsi="仿宋_GB2312" w:eastAsia="仿宋_GB2312" w:cs="仿宋_GB2312"/>
          <w:color w:val="auto"/>
          <w:sz w:val="32"/>
          <w:szCs w:val="32"/>
        </w:rPr>
        <w:t>1.1.1</w:t>
      </w:r>
      <w:r>
        <w:rPr>
          <w:rFonts w:hint="eastAsia" w:ascii="仿宋_GB2312" w:hAnsi="仿宋_GB2312" w:eastAsia="仿宋_GB2312" w:cs="仿宋_GB2312"/>
          <w:b/>
          <w:bCs/>
          <w:color w:val="auto"/>
          <w:sz w:val="32"/>
          <w:szCs w:val="32"/>
        </w:rPr>
        <w:t>名老中医特色方法技术和重大疾病防治经验研究</w:t>
      </w:r>
      <w:bookmarkEnd w:id="14"/>
      <w:bookmarkEnd w:id="15"/>
      <w:bookmarkEnd w:id="16"/>
    </w:p>
    <w:p>
      <w:pPr>
        <w:pStyle w:val="3"/>
        <w:keepNext w:val="0"/>
        <w:keepLines w:val="0"/>
        <w:pageBreakBefore w:val="0"/>
        <w:widowControl w:val="0"/>
        <w:kinsoku/>
        <w:wordWrap/>
        <w:overflowPunct/>
        <w:topLinePunct w:val="0"/>
        <w:bidi w:val="0"/>
        <w:adjustRightInd w:val="0"/>
        <w:snapToGrid w:val="0"/>
        <w:spacing w:before="0" w:after="0" w:line="360" w:lineRule="auto"/>
        <w:ind w:left="0" w:leftChars="0" w:right="0" w:rightChars="0" w:firstLine="643" w:firstLineChars="200"/>
        <w:textAlignment w:val="auto"/>
        <w:rPr>
          <w:rFonts w:hint="eastAsia" w:ascii="仿宋_GB2312" w:hAnsi="仿宋_GB2312" w:eastAsia="仿宋_GB2312" w:cs="仿宋_GB2312"/>
          <w:b w:val="0"/>
          <w:bCs w:val="0"/>
          <w:color w:val="auto"/>
          <w:sz w:val="32"/>
          <w:szCs w:val="32"/>
        </w:rPr>
      </w:pPr>
      <w:bookmarkStart w:id="17" w:name="_Toc14292"/>
      <w:r>
        <w:rPr>
          <w:rFonts w:hint="eastAsia" w:ascii="仿宋_GB2312" w:hAnsi="仿宋_GB2312" w:eastAsia="仿宋_GB2312" w:cs="仿宋_GB2312"/>
          <w:b/>
          <w:bCs/>
          <w:color w:val="auto"/>
          <w:sz w:val="32"/>
          <w:szCs w:val="32"/>
        </w:rPr>
        <w:t>研究内容</w:t>
      </w:r>
      <w:r>
        <w:rPr>
          <w:rFonts w:hint="eastAsia" w:ascii="仿宋_GB2312" w:hAnsi="仿宋_GB2312" w:eastAsia="仿宋_GB2312" w:cs="仿宋_GB2312"/>
          <w:b w:val="0"/>
          <w:bCs w:val="0"/>
          <w:color w:val="auto"/>
          <w:sz w:val="32"/>
          <w:szCs w:val="32"/>
        </w:rPr>
        <w:t>：对35名以上名老中医</w:t>
      </w:r>
      <w:r>
        <w:rPr>
          <w:rFonts w:hint="eastAsia" w:ascii="仿宋_GB2312" w:hAnsi="仿宋_GB2312" w:eastAsia="仿宋_GB2312" w:cs="仿宋_GB2312"/>
          <w:b w:val="0"/>
          <w:bCs w:val="0"/>
          <w:color w:val="auto"/>
          <w:sz w:val="32"/>
          <w:szCs w:val="32"/>
          <w:lang w:eastAsia="zh-CN"/>
        </w:rPr>
        <w:t>（国医大师，国家评选公布的全国名中医）</w:t>
      </w:r>
      <w:r>
        <w:rPr>
          <w:rFonts w:hint="eastAsia" w:ascii="仿宋_GB2312" w:hAnsi="仿宋_GB2312" w:eastAsia="仿宋_GB2312" w:cs="仿宋_GB2312"/>
          <w:b w:val="0"/>
          <w:bCs w:val="0"/>
          <w:color w:val="auto"/>
          <w:sz w:val="32"/>
          <w:szCs w:val="32"/>
        </w:rPr>
        <w:t>临床诊疗案例进行系统的收集，在统一规范术语、统一数据采集方法基础上，充分利用DME、循证医学以及数据挖掘、人工智能等方法与技术，对每位名老中医的学术观点、辨证施治方法、诊疗技术、用药特点、核心方药以及临床疗效等进行系统研究；并针对现代难治病对不同名老中医诊疗经验、治疗方法、方药等进行系统的比较分析研究。</w:t>
      </w:r>
      <w:bookmarkEnd w:id="17"/>
    </w:p>
    <w:p>
      <w:pPr>
        <w:pStyle w:val="3"/>
        <w:keepNext w:val="0"/>
        <w:keepLines w:val="0"/>
        <w:pageBreakBefore w:val="0"/>
        <w:widowControl w:val="0"/>
        <w:kinsoku/>
        <w:wordWrap/>
        <w:overflowPunct/>
        <w:topLinePunct w:val="0"/>
        <w:bidi w:val="0"/>
        <w:adjustRightInd w:val="0"/>
        <w:snapToGrid w:val="0"/>
        <w:spacing w:before="0" w:after="0" w:line="360" w:lineRule="auto"/>
        <w:ind w:left="0" w:leftChars="0" w:right="0" w:rightChars="0" w:firstLine="643" w:firstLineChars="200"/>
        <w:textAlignment w:val="auto"/>
        <w:rPr>
          <w:rFonts w:hint="eastAsia" w:ascii="仿宋_GB2312" w:hAnsi="仿宋_GB2312" w:eastAsia="仿宋_GB2312" w:cs="仿宋_GB2312"/>
          <w:b w:val="0"/>
          <w:bCs w:val="0"/>
          <w:color w:val="auto"/>
          <w:sz w:val="32"/>
          <w:szCs w:val="32"/>
        </w:rPr>
      </w:pPr>
      <w:bookmarkStart w:id="18" w:name="_Toc1362"/>
      <w:r>
        <w:rPr>
          <w:rFonts w:hint="eastAsia" w:ascii="仿宋_GB2312" w:hAnsi="仿宋_GB2312" w:eastAsia="仿宋_GB2312" w:cs="仿宋_GB2312"/>
          <w:b/>
          <w:bCs/>
          <w:color w:val="auto"/>
          <w:sz w:val="32"/>
          <w:szCs w:val="32"/>
        </w:rPr>
        <w:t>考核指标</w:t>
      </w:r>
      <w:r>
        <w:rPr>
          <w:rFonts w:hint="eastAsia" w:ascii="仿宋_GB2312" w:hAnsi="仿宋_GB2312" w:eastAsia="仿宋_GB2312" w:cs="仿宋_GB2312"/>
          <w:b w:val="0"/>
          <w:bCs w:val="0"/>
          <w:color w:val="auto"/>
          <w:sz w:val="32"/>
          <w:szCs w:val="32"/>
        </w:rPr>
        <w:t>：每个项目完成不少于35位名老中医学术观点、辨证施治方法、诊疗技术、用药特点、传承要点、疗效评价的系统研究，提交每位名老中医诊疗经验传承研究报告；系统采集每位名老中医不少于500份最少3个诊次以上、包括疗效评估与随访的完整病例数据；总结形成不少于10种名老中医独特辨证方法、30种特色有效方药或30种特色诊疗技术，并对特色诊疗技术录制成可推广应用的视频资料；完成不少于5种疾病不同中医治疗方法的比较分析研究。</w:t>
      </w:r>
      <w:bookmarkEnd w:id="18"/>
    </w:p>
    <w:p>
      <w:pPr>
        <w:pStyle w:val="3"/>
        <w:keepNext w:val="0"/>
        <w:keepLines w:val="0"/>
        <w:pageBreakBefore w:val="0"/>
        <w:widowControl w:val="0"/>
        <w:kinsoku/>
        <w:wordWrap/>
        <w:overflowPunct/>
        <w:topLinePunct w:val="0"/>
        <w:bidi w:val="0"/>
        <w:adjustRightInd w:val="0"/>
        <w:snapToGrid w:val="0"/>
        <w:spacing w:before="0" w:after="0" w:line="360" w:lineRule="auto"/>
        <w:ind w:left="0" w:leftChars="0" w:right="0" w:rightChars="0" w:firstLine="640" w:firstLineChars="200"/>
        <w:textAlignment w:val="auto"/>
        <w:rPr>
          <w:rFonts w:hint="eastAsia" w:ascii="仿宋_GB2312" w:hAnsi="仿宋_GB2312" w:eastAsia="仿宋_GB2312" w:cs="仿宋_GB2312"/>
          <w:b w:val="0"/>
          <w:bCs w:val="0"/>
          <w:color w:val="auto"/>
          <w:sz w:val="32"/>
          <w:szCs w:val="32"/>
        </w:rPr>
      </w:pPr>
      <w:bookmarkStart w:id="19" w:name="_Toc21814"/>
      <w:r>
        <w:rPr>
          <w:rFonts w:hint="eastAsia" w:ascii="仿宋_GB2312" w:hAnsi="仿宋_GB2312" w:eastAsia="仿宋_GB2312" w:cs="仿宋_GB2312"/>
          <w:b w:val="0"/>
          <w:bCs w:val="0"/>
          <w:color w:val="auto"/>
          <w:sz w:val="32"/>
          <w:szCs w:val="32"/>
        </w:rPr>
        <w:t>支持年限：201</w:t>
      </w:r>
      <w:r>
        <w:rPr>
          <w:rFonts w:hint="eastAsia" w:ascii="仿宋_GB2312" w:hAnsi="仿宋_GB2312" w:eastAsia="仿宋_GB2312" w:cs="仿宋_GB2312"/>
          <w:b w:val="0"/>
          <w:bCs w:val="0"/>
          <w:color w:val="auto"/>
          <w:sz w:val="32"/>
          <w:szCs w:val="32"/>
          <w:lang w:val="en-US" w:eastAsia="zh-CN"/>
        </w:rPr>
        <w:t>8—</w:t>
      </w:r>
      <w:r>
        <w:rPr>
          <w:rFonts w:hint="eastAsia" w:ascii="仿宋_GB2312" w:hAnsi="仿宋_GB2312" w:eastAsia="仿宋_GB2312" w:cs="仿宋_GB2312"/>
          <w:b w:val="0"/>
          <w:bCs w:val="0"/>
          <w:color w:val="auto"/>
          <w:sz w:val="32"/>
          <w:szCs w:val="32"/>
        </w:rPr>
        <w:t>202</w:t>
      </w:r>
      <w:r>
        <w:rPr>
          <w:rFonts w:hint="eastAsia" w:ascii="仿宋_GB2312" w:hAnsi="仿宋_GB2312" w:eastAsia="仿宋_GB2312" w:cs="仿宋_GB2312"/>
          <w:b w:val="0"/>
          <w:bCs w:val="0"/>
          <w:color w:val="auto"/>
          <w:sz w:val="32"/>
          <w:szCs w:val="32"/>
          <w:lang w:val="en-US" w:eastAsia="zh-CN"/>
        </w:rPr>
        <w:t>1</w:t>
      </w:r>
      <w:r>
        <w:rPr>
          <w:rFonts w:hint="eastAsia" w:ascii="仿宋_GB2312" w:hAnsi="仿宋_GB2312" w:eastAsia="仿宋_GB2312" w:cs="仿宋_GB2312"/>
          <w:b w:val="0"/>
          <w:bCs w:val="0"/>
          <w:color w:val="auto"/>
          <w:sz w:val="32"/>
          <w:szCs w:val="32"/>
        </w:rPr>
        <w:t>年</w:t>
      </w:r>
      <w:bookmarkEnd w:id="19"/>
    </w:p>
    <w:p>
      <w:pPr>
        <w:pStyle w:val="3"/>
        <w:keepNext w:val="0"/>
        <w:keepLines w:val="0"/>
        <w:pageBreakBefore w:val="0"/>
        <w:widowControl w:val="0"/>
        <w:kinsoku/>
        <w:wordWrap/>
        <w:overflowPunct/>
        <w:topLinePunct w:val="0"/>
        <w:bidi w:val="0"/>
        <w:adjustRightInd w:val="0"/>
        <w:snapToGrid w:val="0"/>
        <w:spacing w:before="0" w:after="0" w:line="360" w:lineRule="auto"/>
        <w:ind w:left="0" w:leftChars="0" w:right="0" w:rightChars="0" w:firstLine="640" w:firstLineChars="200"/>
        <w:textAlignment w:val="auto"/>
        <w:rPr>
          <w:rFonts w:hint="eastAsia" w:ascii="仿宋_GB2312" w:hAnsi="仿宋_GB2312" w:eastAsia="仿宋_GB2312" w:cs="仿宋_GB2312"/>
          <w:b w:val="0"/>
          <w:bCs w:val="0"/>
          <w:color w:val="auto"/>
          <w:sz w:val="32"/>
          <w:szCs w:val="32"/>
        </w:rPr>
      </w:pPr>
      <w:bookmarkStart w:id="20" w:name="_Toc13409"/>
      <w:r>
        <w:rPr>
          <w:rFonts w:hint="eastAsia" w:ascii="仿宋_GB2312" w:hAnsi="仿宋_GB2312" w:eastAsia="仿宋_GB2312" w:cs="仿宋_GB2312"/>
          <w:b w:val="0"/>
          <w:bCs w:val="0"/>
          <w:color w:val="auto"/>
          <w:sz w:val="32"/>
          <w:szCs w:val="32"/>
        </w:rPr>
        <w:t>拟支持项目数：</w:t>
      </w:r>
      <w:r>
        <w:rPr>
          <w:rFonts w:hint="eastAsia" w:ascii="仿宋_GB2312" w:hAnsi="仿宋_GB2312" w:eastAsia="仿宋_GB2312" w:cs="仿宋_GB2312"/>
          <w:b w:val="0"/>
          <w:bCs w:val="0"/>
          <w:color w:val="auto"/>
          <w:sz w:val="32"/>
          <w:szCs w:val="32"/>
          <w:lang w:eastAsia="zh-CN"/>
        </w:rPr>
        <w:t>不超过</w:t>
      </w:r>
      <w:r>
        <w:rPr>
          <w:rFonts w:hint="eastAsia" w:ascii="仿宋_GB2312" w:hAnsi="仿宋_GB2312" w:eastAsia="仿宋_GB2312" w:cs="仿宋_GB2312"/>
          <w:b w:val="0"/>
          <w:bCs w:val="0"/>
          <w:color w:val="auto"/>
          <w:sz w:val="32"/>
          <w:szCs w:val="32"/>
          <w:lang w:val="en-US" w:eastAsia="zh-CN"/>
        </w:rPr>
        <w:t>3</w:t>
      </w:r>
      <w:r>
        <w:rPr>
          <w:rFonts w:hint="eastAsia" w:ascii="仿宋_GB2312" w:hAnsi="仿宋_GB2312" w:eastAsia="仿宋_GB2312" w:cs="仿宋_GB2312"/>
          <w:b w:val="0"/>
          <w:bCs w:val="0"/>
          <w:color w:val="auto"/>
          <w:sz w:val="32"/>
          <w:szCs w:val="32"/>
        </w:rPr>
        <w:t>项</w:t>
      </w:r>
      <w:bookmarkEnd w:id="20"/>
    </w:p>
    <w:p>
      <w:pPr>
        <w:pStyle w:val="3"/>
        <w:keepNext w:val="0"/>
        <w:keepLines w:val="0"/>
        <w:pageBreakBefore w:val="0"/>
        <w:widowControl w:val="0"/>
        <w:kinsoku/>
        <w:wordWrap/>
        <w:overflowPunct/>
        <w:topLinePunct w:val="0"/>
        <w:bidi w:val="0"/>
        <w:adjustRightInd w:val="0"/>
        <w:snapToGrid w:val="0"/>
        <w:spacing w:before="0" w:after="0" w:line="360" w:lineRule="auto"/>
        <w:ind w:left="0" w:leftChars="0" w:right="0" w:rightChars="0" w:firstLine="640" w:firstLineChars="200"/>
        <w:textAlignment w:val="auto"/>
        <w:rPr>
          <w:rFonts w:hint="eastAsia" w:ascii="仿宋_GB2312" w:hAnsi="仿宋_GB2312" w:eastAsia="仿宋_GB2312" w:cs="仿宋_GB2312"/>
          <w:bCs/>
          <w:color w:val="auto"/>
          <w:sz w:val="32"/>
          <w:szCs w:val="32"/>
        </w:rPr>
      </w:pPr>
      <w:bookmarkStart w:id="21" w:name="_Toc647"/>
      <w:r>
        <w:rPr>
          <w:rFonts w:hint="eastAsia" w:ascii="仿宋_GB2312" w:hAnsi="仿宋_GB2312" w:eastAsia="仿宋_GB2312" w:cs="仿宋_GB2312"/>
          <w:b w:val="0"/>
          <w:bCs w:val="0"/>
          <w:color w:val="auto"/>
          <w:sz w:val="32"/>
          <w:szCs w:val="32"/>
        </w:rPr>
        <w:t>有关说明：鼓励企业联合申报；其他经费(包括地方财政经费、单位出资及社会渠道资金等)与中央财政经费比例不低于1</w:t>
      </w:r>
      <w:r>
        <w:rPr>
          <w:rFonts w:hint="eastAsia" w:ascii="仿宋_GB2312" w:hAnsi="仿宋_GB2312" w:eastAsia="仿宋_GB2312" w:cs="仿宋_GB2312"/>
          <w:b w:val="0"/>
          <w:bCs w:val="0"/>
          <w:color w:val="auto"/>
          <w:sz w:val="32"/>
          <w:szCs w:val="32"/>
          <w:lang w:val="en-US" w:eastAsia="zh-CN"/>
        </w:rPr>
        <w:t>:</w:t>
      </w:r>
      <w:r>
        <w:rPr>
          <w:rFonts w:hint="eastAsia" w:ascii="仿宋_GB2312" w:hAnsi="仿宋_GB2312" w:eastAsia="仿宋_GB2312" w:cs="仿宋_GB2312"/>
          <w:b w:val="0"/>
          <w:bCs w:val="0"/>
          <w:color w:val="auto"/>
          <w:sz w:val="32"/>
          <w:szCs w:val="32"/>
        </w:rPr>
        <w:t>1。</w:t>
      </w:r>
      <w:bookmarkEnd w:id="21"/>
    </w:p>
    <w:p>
      <w:pPr>
        <w:pStyle w:val="3"/>
        <w:keepNext w:val="0"/>
        <w:keepLines w:val="0"/>
        <w:pageBreakBefore w:val="0"/>
        <w:widowControl w:val="0"/>
        <w:kinsoku/>
        <w:wordWrap/>
        <w:overflowPunct/>
        <w:topLinePunct w:val="0"/>
        <w:bidi w:val="0"/>
        <w:adjustRightInd w:val="0"/>
        <w:snapToGrid w:val="0"/>
        <w:spacing w:before="0" w:after="0" w:line="360" w:lineRule="auto"/>
        <w:ind w:left="0" w:leftChars="0" w:right="0" w:rightChars="0" w:firstLine="643" w:firstLineChars="200"/>
        <w:textAlignment w:val="auto"/>
        <w:rPr>
          <w:rFonts w:hint="eastAsia" w:ascii="仿宋_GB2312" w:hAnsi="仿宋_GB2312" w:eastAsia="仿宋_GB2312" w:cs="仿宋_GB2312"/>
          <w:color w:val="auto"/>
          <w:sz w:val="32"/>
          <w:szCs w:val="32"/>
        </w:rPr>
      </w:pPr>
      <w:bookmarkStart w:id="22" w:name="_Toc3217"/>
      <w:r>
        <w:rPr>
          <w:rFonts w:hint="eastAsia" w:ascii="仿宋_GB2312" w:hAnsi="仿宋_GB2312" w:eastAsia="仿宋_GB2312" w:cs="仿宋_GB2312"/>
          <w:color w:val="auto"/>
          <w:sz w:val="32"/>
          <w:szCs w:val="32"/>
        </w:rPr>
        <w:t>1.2基本证候与重大疾病病因病机创新研究</w:t>
      </w:r>
      <w:bookmarkEnd w:id="12"/>
      <w:bookmarkEnd w:id="13"/>
      <w:bookmarkEnd w:id="22"/>
    </w:p>
    <w:p>
      <w:pPr>
        <w:pStyle w:val="4"/>
        <w:keepNext w:val="0"/>
        <w:keepLines w:val="0"/>
        <w:pageBreakBefore w:val="0"/>
        <w:widowControl w:val="0"/>
        <w:kinsoku/>
        <w:wordWrap/>
        <w:overflowPunct/>
        <w:topLinePunct w:val="0"/>
        <w:bidi w:val="0"/>
        <w:adjustRightInd w:val="0"/>
        <w:snapToGrid w:val="0"/>
        <w:spacing w:before="0" w:after="0" w:line="360" w:lineRule="auto"/>
        <w:ind w:left="0" w:leftChars="0" w:right="0" w:rightChars="0" w:firstLine="643" w:firstLineChars="200"/>
        <w:textAlignment w:val="auto"/>
        <w:rPr>
          <w:rFonts w:hint="eastAsia" w:ascii="仿宋_GB2312" w:hAnsi="仿宋_GB2312" w:eastAsia="仿宋_GB2312" w:cs="仿宋_GB2312"/>
          <w:color w:val="auto"/>
          <w:sz w:val="32"/>
          <w:szCs w:val="32"/>
          <w:highlight w:val="yellow"/>
        </w:rPr>
      </w:pPr>
      <w:bookmarkStart w:id="23" w:name="_Toc466641275"/>
      <w:bookmarkStart w:id="24" w:name="_Toc10932"/>
      <w:bookmarkStart w:id="25" w:name="_Toc459120951"/>
      <w:r>
        <w:rPr>
          <w:rFonts w:hint="eastAsia" w:ascii="仿宋_GB2312" w:hAnsi="仿宋_GB2312" w:eastAsia="仿宋_GB2312" w:cs="仿宋_GB2312"/>
          <w:color w:val="auto"/>
          <w:sz w:val="32"/>
          <w:szCs w:val="32"/>
        </w:rPr>
        <w:t>1.2.1</w:t>
      </w:r>
      <w:bookmarkEnd w:id="23"/>
      <w:bookmarkEnd w:id="24"/>
      <w:bookmarkEnd w:id="25"/>
      <w:r>
        <w:rPr>
          <w:rFonts w:hint="eastAsia" w:ascii="仿宋_GB2312" w:hAnsi="仿宋_GB2312" w:eastAsia="仿宋_GB2312" w:cs="仿宋_GB2312"/>
          <w:color w:val="auto"/>
          <w:sz w:val="32"/>
          <w:szCs w:val="32"/>
        </w:rPr>
        <w:t>基本证候辨证标准的系统研究</w:t>
      </w:r>
    </w:p>
    <w:p>
      <w:pPr>
        <w:keepNext w:val="0"/>
        <w:keepLines w:val="0"/>
        <w:pageBreakBefore w:val="0"/>
        <w:widowControl w:val="0"/>
        <w:kinsoku/>
        <w:wordWrap/>
        <w:overflowPunct/>
        <w:topLinePunct w:val="0"/>
        <w:bidi w:val="0"/>
        <w:adjustRightInd w:val="0"/>
        <w:snapToGrid w:val="0"/>
        <w:spacing w:line="360" w:lineRule="auto"/>
        <w:ind w:left="0" w:leftChars="0" w:right="0" w:rightChars="0" w:firstLine="643" w:firstLineChars="200"/>
        <w:textAlignment w:val="auto"/>
        <w:rPr>
          <w:rFonts w:hint="eastAsia" w:ascii="仿宋_GB2312" w:hAnsi="仿宋_GB2312" w:eastAsia="仿宋_GB2312" w:cs="仿宋_GB2312"/>
          <w:bCs/>
          <w:color w:val="auto"/>
          <w:sz w:val="32"/>
          <w:szCs w:val="32"/>
        </w:rPr>
      </w:pPr>
      <w:bookmarkStart w:id="26" w:name="_Toc466641277"/>
      <w:bookmarkStart w:id="27" w:name="_Toc3707"/>
      <w:bookmarkStart w:id="28" w:name="_Toc459120953"/>
      <w:r>
        <w:rPr>
          <w:rFonts w:hint="eastAsia" w:ascii="仿宋_GB2312" w:hAnsi="仿宋_GB2312" w:eastAsia="仿宋_GB2312" w:cs="仿宋_GB2312"/>
          <w:b/>
          <w:bCs/>
          <w:color w:val="auto"/>
          <w:sz w:val="32"/>
          <w:szCs w:val="32"/>
        </w:rPr>
        <w:t>研究内容</w:t>
      </w:r>
      <w:r>
        <w:rPr>
          <w:rFonts w:hint="eastAsia" w:ascii="仿宋_GB2312" w:hAnsi="仿宋_GB2312" w:eastAsia="仿宋_GB2312" w:cs="仿宋_GB2312"/>
          <w:bCs/>
          <w:color w:val="auto"/>
          <w:sz w:val="32"/>
          <w:szCs w:val="32"/>
        </w:rPr>
        <w:t>：选择与重大疾病、慢性疾病密切相关的基本证候</w:t>
      </w:r>
      <w:r>
        <w:rPr>
          <w:rFonts w:hint="eastAsia" w:ascii="仿宋_GB2312" w:hAnsi="仿宋_GB2312" w:eastAsia="仿宋_GB2312" w:cs="仿宋_GB2312"/>
          <w:bCs/>
          <w:color w:val="auto"/>
          <w:sz w:val="32"/>
          <w:szCs w:val="32"/>
          <w:lang w:eastAsia="zh-CN"/>
        </w:rPr>
        <w:t>（气虚证除外）</w:t>
      </w:r>
      <w:r>
        <w:rPr>
          <w:rFonts w:hint="eastAsia" w:ascii="仿宋_GB2312" w:hAnsi="仿宋_GB2312" w:eastAsia="仿宋_GB2312" w:cs="仿宋_GB2312"/>
          <w:bCs/>
          <w:color w:val="auto"/>
          <w:sz w:val="32"/>
          <w:szCs w:val="32"/>
        </w:rPr>
        <w:t>，系统梳理该证候的历史沿革，结合临床开展证候形成研究、证候的辨证要素、证候要素结合和辨证规范化研究，明确辨证规范，建立证候诊断标准，并开展大样本临床流行病学验证，总结临床应用规律，探讨现代生物学基础，探索中医辨识新方法。</w:t>
      </w:r>
    </w:p>
    <w:p>
      <w:pPr>
        <w:keepNext w:val="0"/>
        <w:keepLines w:val="0"/>
        <w:pageBreakBefore w:val="0"/>
        <w:widowControl w:val="0"/>
        <w:kinsoku/>
        <w:wordWrap/>
        <w:overflowPunct/>
        <w:topLinePunct w:val="0"/>
        <w:bidi w:val="0"/>
        <w:adjustRightInd w:val="0"/>
        <w:snapToGrid w:val="0"/>
        <w:spacing w:line="360" w:lineRule="auto"/>
        <w:ind w:left="0" w:leftChars="0" w:right="0" w:rightChars="0" w:firstLine="643" w:firstLineChars="200"/>
        <w:textAlignment w:val="auto"/>
        <w:rPr>
          <w:rFonts w:hint="eastAsia" w:ascii="仿宋_GB2312" w:hAnsi="仿宋_GB2312" w:eastAsia="仿宋_GB2312" w:cs="仿宋_GB2312"/>
          <w:bCs/>
          <w:color w:val="auto"/>
          <w:sz w:val="32"/>
          <w:szCs w:val="32"/>
        </w:rPr>
      </w:pPr>
      <w:r>
        <w:rPr>
          <w:rFonts w:hint="eastAsia" w:ascii="仿宋_GB2312" w:hAnsi="仿宋_GB2312" w:eastAsia="仿宋_GB2312" w:cs="仿宋_GB2312"/>
          <w:b/>
          <w:bCs/>
          <w:color w:val="auto"/>
          <w:sz w:val="32"/>
          <w:szCs w:val="32"/>
        </w:rPr>
        <w:t>考核指标</w:t>
      </w:r>
      <w:r>
        <w:rPr>
          <w:rFonts w:hint="eastAsia" w:ascii="仿宋_GB2312" w:hAnsi="仿宋_GB2312" w:eastAsia="仿宋_GB2312" w:cs="仿宋_GB2312"/>
          <w:bCs/>
          <w:color w:val="auto"/>
          <w:sz w:val="32"/>
          <w:szCs w:val="32"/>
        </w:rPr>
        <w:t>：完成1</w:t>
      </w:r>
      <w:r>
        <w:rPr>
          <w:rFonts w:hint="eastAsia" w:ascii="仿宋_GB2312" w:hAnsi="仿宋_GB2312" w:eastAsia="仿宋_GB2312" w:cs="仿宋_GB2312"/>
          <w:bCs/>
          <w:color w:val="auto"/>
          <w:sz w:val="32"/>
          <w:szCs w:val="32"/>
          <w:lang w:eastAsia="zh-CN"/>
        </w:rPr>
        <w:t>～</w:t>
      </w:r>
      <w:r>
        <w:rPr>
          <w:rFonts w:hint="eastAsia" w:ascii="仿宋_GB2312" w:hAnsi="仿宋_GB2312" w:eastAsia="仿宋_GB2312" w:cs="仿宋_GB2312"/>
          <w:bCs/>
          <w:color w:val="auto"/>
          <w:sz w:val="32"/>
          <w:szCs w:val="32"/>
        </w:rPr>
        <w:t>2个中医证候与某些疾病核心病机相关性的基础研究；以临床试验数据为依据，明确证候临床演变规律；初步明确证候相关的生物学基础；形成可推广应用的中医证候辨识标准和技术方法，进入中药临床研究技术指导原则。</w:t>
      </w:r>
    </w:p>
    <w:p>
      <w:pPr>
        <w:keepNext w:val="0"/>
        <w:keepLines w:val="0"/>
        <w:pageBreakBefore w:val="0"/>
        <w:widowControl w:val="0"/>
        <w:kinsoku/>
        <w:wordWrap/>
        <w:overflowPunct/>
        <w:topLinePunct w:val="0"/>
        <w:bidi w:val="0"/>
        <w:adjustRightInd w:val="0"/>
        <w:snapToGrid w:val="0"/>
        <w:spacing w:line="360" w:lineRule="auto"/>
        <w:ind w:left="0" w:leftChars="0" w:right="0" w:rightChars="0" w:firstLine="640" w:firstLineChars="200"/>
        <w:textAlignment w:val="auto"/>
        <w:rPr>
          <w:rFonts w:hint="eastAsia" w:ascii="仿宋_GB2312" w:hAnsi="仿宋_GB2312" w:eastAsia="仿宋_GB2312" w:cs="仿宋_GB2312"/>
          <w:bCs/>
          <w:color w:val="auto"/>
          <w:sz w:val="32"/>
          <w:szCs w:val="32"/>
        </w:rPr>
      </w:pPr>
      <w:r>
        <w:rPr>
          <w:rFonts w:hint="eastAsia" w:ascii="仿宋_GB2312" w:hAnsi="仿宋_GB2312" w:eastAsia="仿宋_GB2312" w:cs="仿宋_GB2312"/>
          <w:bCs/>
          <w:color w:val="auto"/>
          <w:sz w:val="32"/>
          <w:szCs w:val="32"/>
          <w:lang w:eastAsia="zh-CN"/>
        </w:rPr>
        <w:t>实施</w:t>
      </w:r>
      <w:r>
        <w:rPr>
          <w:rFonts w:hint="eastAsia" w:ascii="仿宋_GB2312" w:hAnsi="仿宋_GB2312" w:eastAsia="仿宋_GB2312" w:cs="仿宋_GB2312"/>
          <w:bCs/>
          <w:color w:val="auto"/>
          <w:sz w:val="32"/>
          <w:szCs w:val="32"/>
        </w:rPr>
        <w:t>年限：201</w:t>
      </w:r>
      <w:r>
        <w:rPr>
          <w:rFonts w:hint="eastAsia" w:ascii="仿宋_GB2312" w:hAnsi="仿宋_GB2312" w:eastAsia="仿宋_GB2312" w:cs="仿宋_GB2312"/>
          <w:bCs/>
          <w:color w:val="auto"/>
          <w:sz w:val="32"/>
          <w:szCs w:val="32"/>
          <w:lang w:val="en-US" w:eastAsia="zh-CN"/>
        </w:rPr>
        <w:t>8</w:t>
      </w:r>
      <w:r>
        <w:rPr>
          <w:rFonts w:hint="eastAsia" w:ascii="仿宋_GB2312" w:hAnsi="仿宋_GB2312" w:eastAsia="仿宋_GB2312" w:cs="仿宋_GB2312"/>
          <w:bCs/>
          <w:color w:val="auto"/>
          <w:sz w:val="32"/>
          <w:szCs w:val="32"/>
          <w:lang w:eastAsia="zh-CN"/>
        </w:rPr>
        <w:t>—</w:t>
      </w:r>
      <w:r>
        <w:rPr>
          <w:rFonts w:hint="eastAsia" w:ascii="仿宋_GB2312" w:hAnsi="仿宋_GB2312" w:eastAsia="仿宋_GB2312" w:cs="仿宋_GB2312"/>
          <w:bCs/>
          <w:color w:val="auto"/>
          <w:sz w:val="32"/>
          <w:szCs w:val="32"/>
        </w:rPr>
        <w:t>2021年</w:t>
      </w:r>
    </w:p>
    <w:p>
      <w:pPr>
        <w:keepNext w:val="0"/>
        <w:keepLines w:val="0"/>
        <w:pageBreakBefore w:val="0"/>
        <w:widowControl w:val="0"/>
        <w:kinsoku/>
        <w:wordWrap/>
        <w:overflowPunct/>
        <w:topLinePunct w:val="0"/>
        <w:bidi w:val="0"/>
        <w:adjustRightInd w:val="0"/>
        <w:snapToGrid w:val="0"/>
        <w:spacing w:line="360" w:lineRule="auto"/>
        <w:ind w:left="0" w:leftChars="0" w:right="0" w:rightChars="0" w:firstLine="640" w:firstLineChars="200"/>
        <w:textAlignment w:val="auto"/>
        <w:rPr>
          <w:rFonts w:hint="eastAsia" w:ascii="仿宋_GB2312" w:hAnsi="仿宋_GB2312" w:eastAsia="仿宋_GB2312" w:cs="仿宋_GB2312"/>
          <w:bCs/>
          <w:color w:val="auto"/>
          <w:sz w:val="32"/>
          <w:szCs w:val="32"/>
        </w:rPr>
      </w:pPr>
      <w:r>
        <w:rPr>
          <w:rFonts w:hint="eastAsia" w:ascii="仿宋_GB2312" w:hAnsi="仿宋_GB2312" w:eastAsia="仿宋_GB2312" w:cs="仿宋_GB2312"/>
          <w:bCs/>
          <w:color w:val="auto"/>
          <w:sz w:val="32"/>
          <w:szCs w:val="32"/>
        </w:rPr>
        <w:t>拟支持项目数：</w:t>
      </w:r>
      <w:r>
        <w:rPr>
          <w:rFonts w:hint="eastAsia" w:ascii="仿宋_GB2312" w:hAnsi="仿宋_GB2312" w:eastAsia="仿宋_GB2312" w:cs="仿宋_GB2312"/>
          <w:bCs/>
          <w:color w:val="auto"/>
          <w:sz w:val="32"/>
          <w:szCs w:val="32"/>
          <w:lang w:eastAsia="zh-CN"/>
        </w:rPr>
        <w:t>不超过</w:t>
      </w:r>
      <w:r>
        <w:rPr>
          <w:rFonts w:hint="eastAsia" w:ascii="仿宋_GB2312" w:hAnsi="仿宋_GB2312" w:eastAsia="仿宋_GB2312" w:cs="仿宋_GB2312"/>
          <w:bCs/>
          <w:color w:val="auto"/>
          <w:sz w:val="32"/>
          <w:szCs w:val="32"/>
          <w:lang w:val="en-US" w:eastAsia="zh-CN"/>
        </w:rPr>
        <w:t>3</w:t>
      </w:r>
      <w:r>
        <w:rPr>
          <w:rFonts w:hint="eastAsia" w:ascii="仿宋_GB2312" w:hAnsi="仿宋_GB2312" w:eastAsia="仿宋_GB2312" w:cs="仿宋_GB2312"/>
          <w:bCs/>
          <w:color w:val="auto"/>
          <w:sz w:val="32"/>
          <w:szCs w:val="32"/>
        </w:rPr>
        <w:t>项</w:t>
      </w:r>
    </w:p>
    <w:p>
      <w:pPr>
        <w:pStyle w:val="3"/>
        <w:keepNext w:val="0"/>
        <w:keepLines w:val="0"/>
        <w:pageBreakBefore w:val="0"/>
        <w:widowControl w:val="0"/>
        <w:kinsoku/>
        <w:wordWrap/>
        <w:overflowPunct/>
        <w:topLinePunct w:val="0"/>
        <w:bidi w:val="0"/>
        <w:adjustRightInd w:val="0"/>
        <w:snapToGrid w:val="0"/>
        <w:spacing w:before="0" w:after="0" w:line="360" w:lineRule="auto"/>
        <w:ind w:left="0" w:leftChars="0" w:right="0" w:rightChars="0" w:firstLine="643"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w:t>
      </w:r>
      <w:bookmarkEnd w:id="26"/>
      <w:bookmarkEnd w:id="27"/>
      <w:bookmarkEnd w:id="28"/>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lang w:eastAsia="zh-CN"/>
        </w:rPr>
        <w:t>基于经典名方与中药大品种的药性理论和复方配伍理论研究</w:t>
      </w:r>
    </w:p>
    <w:p>
      <w:pPr>
        <w:pStyle w:val="4"/>
        <w:keepNext w:val="0"/>
        <w:keepLines w:val="0"/>
        <w:pageBreakBefore w:val="0"/>
        <w:widowControl w:val="0"/>
        <w:kinsoku/>
        <w:wordWrap/>
        <w:overflowPunct/>
        <w:topLinePunct w:val="0"/>
        <w:bidi w:val="0"/>
        <w:adjustRightInd w:val="0"/>
        <w:snapToGrid w:val="0"/>
        <w:spacing w:before="0" w:after="0" w:line="360" w:lineRule="auto"/>
        <w:ind w:left="0" w:leftChars="0" w:right="0" w:rightChars="0" w:firstLine="643" w:firstLineChars="200"/>
        <w:textAlignment w:val="auto"/>
        <w:rPr>
          <w:rFonts w:hint="eastAsia" w:ascii="仿宋_GB2312" w:hAnsi="仿宋_GB2312" w:eastAsia="仿宋_GB2312" w:cs="仿宋_GB2312"/>
          <w:color w:val="auto"/>
          <w:sz w:val="32"/>
          <w:szCs w:val="32"/>
          <w:highlight w:val="yellow"/>
        </w:rPr>
      </w:pPr>
      <w:bookmarkStart w:id="29" w:name="_Toc467754866"/>
      <w:bookmarkStart w:id="30" w:name="_Toc4036"/>
      <w:bookmarkStart w:id="31" w:name="_Toc466641278"/>
      <w:bookmarkStart w:id="32" w:name="_Toc459120954"/>
      <w:r>
        <w:rPr>
          <w:rFonts w:hint="eastAsia" w:ascii="仿宋_GB2312" w:hAnsi="仿宋_GB2312" w:eastAsia="仿宋_GB2312" w:cs="仿宋_GB2312"/>
          <w:color w:val="auto"/>
          <w:kern w:val="2"/>
          <w:sz w:val="32"/>
          <w:szCs w:val="32"/>
        </w:rPr>
        <w:t>1.3.</w:t>
      </w:r>
      <w:bookmarkEnd w:id="29"/>
      <w:r>
        <w:rPr>
          <w:rFonts w:hint="eastAsia" w:ascii="仿宋_GB2312" w:hAnsi="仿宋_GB2312" w:eastAsia="仿宋_GB2312" w:cs="仿宋_GB2312"/>
          <w:color w:val="auto"/>
          <w:kern w:val="2"/>
          <w:sz w:val="32"/>
          <w:szCs w:val="32"/>
          <w:lang w:val="en-US" w:eastAsia="zh-CN"/>
        </w:rPr>
        <w:t>1</w:t>
      </w:r>
      <w:r>
        <w:rPr>
          <w:rFonts w:hint="eastAsia" w:ascii="仿宋_GB2312" w:hAnsi="仿宋_GB2312" w:eastAsia="仿宋_GB2312" w:cs="仿宋_GB2312"/>
          <w:color w:val="auto"/>
          <w:sz w:val="32"/>
          <w:szCs w:val="32"/>
        </w:rPr>
        <w:t>中药配伍复方治疗理论研究</w:t>
      </w:r>
      <w:bookmarkEnd w:id="30"/>
    </w:p>
    <w:p>
      <w:pPr>
        <w:keepNext w:val="0"/>
        <w:keepLines w:val="0"/>
        <w:pageBreakBefore w:val="0"/>
        <w:widowControl w:val="0"/>
        <w:kinsoku/>
        <w:wordWrap/>
        <w:overflowPunct/>
        <w:topLinePunct w:val="0"/>
        <w:bidi w:val="0"/>
        <w:adjustRightInd w:val="0"/>
        <w:snapToGrid w:val="0"/>
        <w:spacing w:line="360" w:lineRule="auto"/>
        <w:ind w:left="0" w:leftChars="0" w:right="0" w:rightChars="0" w:firstLine="643" w:firstLineChars="200"/>
        <w:textAlignment w:val="auto"/>
        <w:rPr>
          <w:rFonts w:hint="eastAsia" w:ascii="仿宋_GB2312" w:hAnsi="仿宋_GB2312" w:eastAsia="仿宋_GB2312" w:cs="仿宋_GB2312"/>
          <w:bCs/>
          <w:color w:val="auto"/>
          <w:sz w:val="32"/>
          <w:szCs w:val="32"/>
        </w:rPr>
      </w:pPr>
      <w:r>
        <w:rPr>
          <w:rFonts w:hint="eastAsia" w:ascii="仿宋_GB2312" w:hAnsi="仿宋_GB2312" w:eastAsia="仿宋_GB2312" w:cs="仿宋_GB2312"/>
          <w:b/>
          <w:bCs/>
          <w:color w:val="auto"/>
          <w:sz w:val="32"/>
          <w:szCs w:val="32"/>
        </w:rPr>
        <w:t>研究内容</w:t>
      </w:r>
      <w:r>
        <w:rPr>
          <w:rFonts w:hint="eastAsia" w:ascii="仿宋_GB2312" w:hAnsi="仿宋_GB2312" w:eastAsia="仿宋_GB2312" w:cs="仿宋_GB2312"/>
          <w:bCs/>
          <w:color w:val="auto"/>
          <w:sz w:val="32"/>
          <w:szCs w:val="32"/>
        </w:rPr>
        <w:t>：选择临床长期应用的经典名方，整合多学科方法</w:t>
      </w:r>
      <w:r>
        <w:rPr>
          <w:rFonts w:hint="eastAsia" w:ascii="仿宋_GB2312" w:hAnsi="仿宋_GB2312" w:eastAsia="仿宋_GB2312" w:cs="仿宋_GB2312"/>
          <w:bCs/>
          <w:color w:val="auto"/>
          <w:sz w:val="32"/>
          <w:szCs w:val="32"/>
          <w:u w:val="none"/>
        </w:rPr>
        <w:t>开展经方配伍治疗理论研究，</w:t>
      </w:r>
      <w:r>
        <w:rPr>
          <w:rFonts w:hint="eastAsia" w:ascii="仿宋_GB2312" w:hAnsi="仿宋_GB2312" w:eastAsia="仿宋_GB2312" w:cs="仿宋_GB2312"/>
          <w:bCs/>
          <w:color w:val="auto"/>
          <w:sz w:val="32"/>
          <w:szCs w:val="32"/>
        </w:rPr>
        <w:t>诠释方剂配伍理论的现代科学内涵</w:t>
      </w:r>
      <w:r>
        <w:rPr>
          <w:rFonts w:hint="eastAsia" w:ascii="仿宋_GB2312" w:hAnsi="仿宋_GB2312" w:eastAsia="仿宋_GB2312" w:cs="仿宋_GB2312"/>
          <w:bCs/>
          <w:color w:val="auto"/>
          <w:sz w:val="32"/>
          <w:szCs w:val="32"/>
          <w:u w:val="none"/>
        </w:rPr>
        <w:t>。</w:t>
      </w:r>
      <w:r>
        <w:rPr>
          <w:rFonts w:hint="eastAsia" w:ascii="仿宋_GB2312" w:hAnsi="仿宋_GB2312" w:eastAsia="仿宋_GB2312" w:cs="仿宋_GB2312"/>
          <w:bCs/>
          <w:color w:val="auto"/>
          <w:sz w:val="32"/>
          <w:szCs w:val="32"/>
        </w:rPr>
        <w:t>突破中药复杂体系体外体内关键解析技术，形成组分配伍创制现代中药的技术规范，为中药复方重大新药创制和经方优化提供方法和新药候选处方支撑。</w:t>
      </w:r>
    </w:p>
    <w:p>
      <w:pPr>
        <w:keepNext w:val="0"/>
        <w:keepLines w:val="0"/>
        <w:pageBreakBefore w:val="0"/>
        <w:widowControl w:val="0"/>
        <w:kinsoku/>
        <w:wordWrap/>
        <w:overflowPunct/>
        <w:topLinePunct w:val="0"/>
        <w:bidi w:val="0"/>
        <w:adjustRightInd w:val="0"/>
        <w:snapToGrid w:val="0"/>
        <w:spacing w:line="360" w:lineRule="auto"/>
        <w:ind w:left="0" w:leftChars="0" w:right="0" w:rightChars="0" w:firstLine="643" w:firstLineChars="200"/>
        <w:textAlignment w:val="auto"/>
        <w:rPr>
          <w:rFonts w:hint="eastAsia" w:ascii="仿宋_GB2312" w:hAnsi="仿宋_GB2312" w:eastAsia="仿宋_GB2312" w:cs="仿宋_GB2312"/>
          <w:bCs/>
          <w:color w:val="auto"/>
          <w:sz w:val="32"/>
          <w:szCs w:val="32"/>
        </w:rPr>
      </w:pPr>
      <w:r>
        <w:rPr>
          <w:rFonts w:hint="eastAsia" w:ascii="仿宋_GB2312" w:hAnsi="仿宋_GB2312" w:eastAsia="仿宋_GB2312" w:cs="仿宋_GB2312"/>
          <w:b/>
          <w:bCs/>
          <w:color w:val="auto"/>
          <w:sz w:val="32"/>
          <w:szCs w:val="32"/>
        </w:rPr>
        <w:t>考核指标</w:t>
      </w:r>
      <w:r>
        <w:rPr>
          <w:rFonts w:hint="eastAsia" w:ascii="仿宋_GB2312" w:hAnsi="仿宋_GB2312" w:eastAsia="仿宋_GB2312" w:cs="仿宋_GB2312"/>
          <w:bCs/>
          <w:color w:val="auto"/>
          <w:sz w:val="32"/>
          <w:szCs w:val="32"/>
        </w:rPr>
        <w:t>：解析2～3个经典名方的中药配伍治疗理论和量效关系，建立中药配伍和量效关系研究模式。阐释中药有效组分配伍的体内过程及其作用模式，诠释中药组分配伍的现代科学内涵。完成2个复方配伍新药处方，并提供有效性、安全性、临床适应证的证据。</w:t>
      </w:r>
    </w:p>
    <w:p>
      <w:pPr>
        <w:keepNext w:val="0"/>
        <w:keepLines w:val="0"/>
        <w:pageBreakBefore w:val="0"/>
        <w:widowControl w:val="0"/>
        <w:kinsoku/>
        <w:wordWrap/>
        <w:overflowPunct/>
        <w:topLinePunct w:val="0"/>
        <w:bidi w:val="0"/>
        <w:adjustRightInd w:val="0"/>
        <w:snapToGrid w:val="0"/>
        <w:spacing w:line="360" w:lineRule="auto"/>
        <w:ind w:left="0" w:leftChars="0" w:right="0" w:rightChars="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Cs/>
          <w:color w:val="auto"/>
          <w:sz w:val="32"/>
          <w:szCs w:val="32"/>
        </w:rPr>
        <w:t>支持年限：</w:t>
      </w:r>
      <w:r>
        <w:rPr>
          <w:rFonts w:hint="eastAsia" w:ascii="仿宋_GB2312" w:hAnsi="仿宋_GB2312" w:eastAsia="仿宋_GB2312" w:cs="仿宋_GB2312"/>
          <w:color w:val="auto"/>
          <w:sz w:val="32"/>
          <w:szCs w:val="32"/>
        </w:rPr>
        <w:t>201</w:t>
      </w:r>
      <w:r>
        <w:rPr>
          <w:rFonts w:hint="eastAsia" w:ascii="仿宋_GB2312" w:hAnsi="仿宋_GB2312" w:eastAsia="仿宋_GB2312" w:cs="仿宋_GB2312"/>
          <w:color w:val="auto"/>
          <w:sz w:val="32"/>
          <w:szCs w:val="32"/>
          <w:lang w:val="en-US" w:eastAsia="zh-CN"/>
        </w:rPr>
        <w:t>8—</w:t>
      </w:r>
      <w:r>
        <w:rPr>
          <w:rFonts w:hint="eastAsia" w:ascii="仿宋_GB2312" w:hAnsi="仿宋_GB2312" w:eastAsia="仿宋_GB2312" w:cs="仿宋_GB2312"/>
          <w:color w:val="auto"/>
          <w:sz w:val="32"/>
          <w:szCs w:val="32"/>
        </w:rPr>
        <w:t>202</w:t>
      </w: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rPr>
        <w:t>年</w:t>
      </w:r>
    </w:p>
    <w:p>
      <w:pPr>
        <w:keepNext w:val="0"/>
        <w:keepLines w:val="0"/>
        <w:pageBreakBefore w:val="0"/>
        <w:widowControl w:val="0"/>
        <w:kinsoku/>
        <w:wordWrap/>
        <w:overflowPunct/>
        <w:topLinePunct w:val="0"/>
        <w:bidi w:val="0"/>
        <w:adjustRightInd w:val="0"/>
        <w:snapToGrid w:val="0"/>
        <w:spacing w:line="360" w:lineRule="auto"/>
        <w:ind w:left="0" w:leftChars="0" w:right="0" w:rightChars="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Cs/>
          <w:color w:val="auto"/>
          <w:sz w:val="32"/>
          <w:szCs w:val="32"/>
        </w:rPr>
        <w:t>拟支持项目数：1～2项</w:t>
      </w:r>
    </w:p>
    <w:bookmarkEnd w:id="31"/>
    <w:bookmarkEnd w:id="32"/>
    <w:p>
      <w:pPr>
        <w:keepNext w:val="0"/>
        <w:keepLines w:val="0"/>
        <w:pageBreakBefore w:val="0"/>
        <w:widowControl w:val="0"/>
        <w:kinsoku/>
        <w:wordWrap/>
        <w:overflowPunct/>
        <w:topLinePunct w:val="0"/>
        <w:bidi w:val="0"/>
        <w:adjustRightInd w:val="0"/>
        <w:snapToGrid w:val="0"/>
        <w:spacing w:line="360" w:lineRule="auto"/>
        <w:ind w:left="0" w:leftChars="0" w:right="0" w:rightChars="0" w:firstLine="643" w:firstLineChars="200"/>
        <w:textAlignment w:val="auto"/>
        <w:rPr>
          <w:rFonts w:hint="eastAsia" w:ascii="仿宋_GB2312" w:hAnsi="仿宋_GB2312" w:eastAsia="仿宋_GB2312" w:cs="仿宋_GB2312"/>
          <w:b/>
          <w:color w:val="auto"/>
          <w:sz w:val="32"/>
          <w:szCs w:val="32"/>
        </w:rPr>
      </w:pPr>
      <w:bookmarkStart w:id="33" w:name="_Toc4217"/>
      <w:r>
        <w:rPr>
          <w:rFonts w:hint="eastAsia" w:ascii="仿宋_GB2312" w:hAnsi="仿宋_GB2312" w:eastAsia="仿宋_GB2312" w:cs="仿宋_GB2312"/>
          <w:b/>
          <w:color w:val="auto"/>
          <w:sz w:val="32"/>
          <w:szCs w:val="32"/>
        </w:rPr>
        <w:t>1.3.</w:t>
      </w:r>
      <w:bookmarkEnd w:id="33"/>
      <w:r>
        <w:rPr>
          <w:rFonts w:hint="eastAsia" w:ascii="仿宋_GB2312" w:hAnsi="仿宋_GB2312" w:eastAsia="仿宋_GB2312" w:cs="仿宋_GB2312"/>
          <w:b/>
          <w:color w:val="auto"/>
          <w:sz w:val="32"/>
          <w:szCs w:val="32"/>
          <w:lang w:val="en-US" w:eastAsia="zh-CN"/>
        </w:rPr>
        <w:t>2</w:t>
      </w:r>
      <w:r>
        <w:rPr>
          <w:rFonts w:hint="eastAsia" w:ascii="仿宋_GB2312" w:hAnsi="仿宋_GB2312" w:eastAsia="仿宋_GB2312" w:cs="仿宋_GB2312"/>
          <w:b/>
          <w:color w:val="auto"/>
          <w:sz w:val="32"/>
          <w:szCs w:val="32"/>
        </w:rPr>
        <w:t>中药组学方法学创新研究</w:t>
      </w:r>
    </w:p>
    <w:p>
      <w:pPr>
        <w:keepNext w:val="0"/>
        <w:keepLines w:val="0"/>
        <w:pageBreakBefore w:val="0"/>
        <w:widowControl w:val="0"/>
        <w:kinsoku/>
        <w:wordWrap/>
        <w:overflowPunct/>
        <w:topLinePunct w:val="0"/>
        <w:bidi w:val="0"/>
        <w:adjustRightInd w:val="0"/>
        <w:snapToGrid w:val="0"/>
        <w:spacing w:line="360" w:lineRule="auto"/>
        <w:ind w:left="0" w:leftChars="0" w:right="0" w:rightChars="0" w:firstLine="643" w:firstLineChars="200"/>
        <w:textAlignment w:val="auto"/>
        <w:rPr>
          <w:rFonts w:hint="eastAsia" w:ascii="仿宋_GB2312" w:hAnsi="仿宋_GB2312" w:eastAsia="仿宋_GB2312" w:cs="仿宋_GB2312"/>
          <w:bCs/>
          <w:color w:val="auto"/>
          <w:sz w:val="32"/>
          <w:szCs w:val="32"/>
        </w:rPr>
      </w:pPr>
      <w:r>
        <w:rPr>
          <w:rFonts w:hint="eastAsia" w:ascii="仿宋_GB2312" w:hAnsi="仿宋_GB2312" w:eastAsia="仿宋_GB2312" w:cs="仿宋_GB2312"/>
          <w:b/>
          <w:bCs/>
          <w:color w:val="auto"/>
          <w:sz w:val="32"/>
          <w:szCs w:val="32"/>
        </w:rPr>
        <w:t>研究内容</w:t>
      </w:r>
      <w:r>
        <w:rPr>
          <w:rFonts w:hint="eastAsia" w:ascii="仿宋_GB2312" w:hAnsi="仿宋_GB2312" w:eastAsia="仿宋_GB2312" w:cs="仿宋_GB2312"/>
          <w:bCs/>
          <w:color w:val="auto"/>
          <w:sz w:val="32"/>
          <w:szCs w:val="32"/>
        </w:rPr>
        <w:t>：利用细胞系和模式生物，研究机体服用中药后的体内代谢与作用靶点，揭示2～3种中药药效的机制；通过组学技术获取3～5种药用物种全基因组序列图谱等遗传信息，建立基因数据库用于珍贵药用物种基因资源的保护和利用，综合利用转录组学、蛋白组学和代谢组学等技术，开发分子标记用于中草药的基因组辅助育种和中药鉴定。</w:t>
      </w:r>
    </w:p>
    <w:p>
      <w:pPr>
        <w:keepNext w:val="0"/>
        <w:keepLines w:val="0"/>
        <w:pageBreakBefore w:val="0"/>
        <w:widowControl w:val="0"/>
        <w:kinsoku/>
        <w:wordWrap/>
        <w:overflowPunct/>
        <w:topLinePunct w:val="0"/>
        <w:bidi w:val="0"/>
        <w:adjustRightInd w:val="0"/>
        <w:snapToGrid w:val="0"/>
        <w:spacing w:line="360" w:lineRule="auto"/>
        <w:ind w:left="0" w:leftChars="0" w:right="0" w:rightChars="0" w:firstLine="643" w:firstLineChars="200"/>
        <w:textAlignment w:val="auto"/>
        <w:rPr>
          <w:rFonts w:hint="eastAsia" w:ascii="仿宋_GB2312" w:hAnsi="仿宋_GB2312" w:eastAsia="仿宋_GB2312" w:cs="仿宋_GB2312"/>
          <w:bCs/>
          <w:color w:val="auto"/>
          <w:sz w:val="32"/>
          <w:szCs w:val="32"/>
        </w:rPr>
      </w:pPr>
      <w:r>
        <w:rPr>
          <w:rFonts w:hint="eastAsia" w:ascii="仿宋_GB2312" w:hAnsi="仿宋_GB2312" w:eastAsia="仿宋_GB2312" w:cs="仿宋_GB2312"/>
          <w:b/>
          <w:bCs/>
          <w:color w:val="auto"/>
          <w:sz w:val="32"/>
          <w:szCs w:val="32"/>
        </w:rPr>
        <w:t>考核指标</w:t>
      </w:r>
      <w:r>
        <w:rPr>
          <w:rFonts w:hint="eastAsia" w:ascii="仿宋_GB2312" w:hAnsi="仿宋_GB2312" w:eastAsia="仿宋_GB2312" w:cs="仿宋_GB2312"/>
          <w:bCs/>
          <w:color w:val="auto"/>
          <w:sz w:val="32"/>
          <w:szCs w:val="32"/>
        </w:rPr>
        <w:t>：完成3～5个中药全基因组序列图谱，完成8～10个中药材品种功能基因组和蛋白质组数据库的建立；建立3～5个中药成分分子鉴定标志，利用基因辅助育种开发3～4个中药新品种，建立1个药用模式生物研究体系。</w:t>
      </w:r>
    </w:p>
    <w:p>
      <w:pPr>
        <w:keepNext w:val="0"/>
        <w:keepLines w:val="0"/>
        <w:pageBreakBefore w:val="0"/>
        <w:widowControl w:val="0"/>
        <w:kinsoku/>
        <w:wordWrap/>
        <w:overflowPunct/>
        <w:topLinePunct w:val="0"/>
        <w:bidi w:val="0"/>
        <w:adjustRightInd w:val="0"/>
        <w:snapToGrid w:val="0"/>
        <w:spacing w:line="360" w:lineRule="auto"/>
        <w:ind w:left="0" w:leftChars="0" w:right="0" w:rightChars="0" w:firstLine="640" w:firstLineChars="200"/>
        <w:textAlignment w:val="auto"/>
        <w:rPr>
          <w:rFonts w:hint="eastAsia" w:ascii="仿宋_GB2312" w:hAnsi="仿宋_GB2312" w:eastAsia="仿宋_GB2312" w:cs="仿宋_GB2312"/>
          <w:bCs/>
          <w:color w:val="auto"/>
          <w:sz w:val="32"/>
          <w:szCs w:val="32"/>
        </w:rPr>
      </w:pPr>
      <w:r>
        <w:rPr>
          <w:rFonts w:hint="eastAsia" w:ascii="仿宋_GB2312" w:hAnsi="仿宋_GB2312" w:eastAsia="仿宋_GB2312" w:cs="仿宋_GB2312"/>
          <w:bCs/>
          <w:color w:val="auto"/>
          <w:sz w:val="32"/>
          <w:szCs w:val="32"/>
        </w:rPr>
        <w:t xml:space="preserve">支持年限：2018—2021年 </w:t>
      </w:r>
    </w:p>
    <w:p>
      <w:pPr>
        <w:keepNext w:val="0"/>
        <w:keepLines w:val="0"/>
        <w:pageBreakBefore w:val="0"/>
        <w:widowControl w:val="0"/>
        <w:kinsoku/>
        <w:wordWrap/>
        <w:overflowPunct/>
        <w:topLinePunct w:val="0"/>
        <w:bidi w:val="0"/>
        <w:adjustRightInd w:val="0"/>
        <w:snapToGrid w:val="0"/>
        <w:spacing w:line="360" w:lineRule="auto"/>
        <w:ind w:left="0" w:leftChars="0" w:right="0" w:rightChars="0" w:firstLine="640" w:firstLineChars="200"/>
        <w:textAlignment w:val="auto"/>
        <w:rPr>
          <w:rFonts w:hint="eastAsia" w:ascii="仿宋_GB2312" w:hAnsi="仿宋_GB2312" w:eastAsia="仿宋_GB2312" w:cs="仿宋_GB2312"/>
          <w:bCs/>
          <w:color w:val="auto"/>
          <w:sz w:val="32"/>
          <w:szCs w:val="32"/>
        </w:rPr>
      </w:pPr>
      <w:r>
        <w:rPr>
          <w:rFonts w:hint="eastAsia" w:ascii="仿宋_GB2312" w:hAnsi="仿宋_GB2312" w:eastAsia="仿宋_GB2312" w:cs="仿宋_GB2312"/>
          <w:bCs/>
          <w:color w:val="auto"/>
          <w:sz w:val="32"/>
          <w:szCs w:val="32"/>
        </w:rPr>
        <w:t>拟支持项目数：1～2项</w:t>
      </w:r>
    </w:p>
    <w:p>
      <w:pPr>
        <w:pStyle w:val="3"/>
        <w:keepNext w:val="0"/>
        <w:keepLines w:val="0"/>
        <w:pageBreakBefore w:val="0"/>
        <w:widowControl w:val="0"/>
        <w:kinsoku/>
        <w:wordWrap/>
        <w:overflowPunct/>
        <w:topLinePunct w:val="0"/>
        <w:bidi w:val="0"/>
        <w:adjustRightInd w:val="0"/>
        <w:snapToGrid w:val="0"/>
        <w:spacing w:before="0" w:after="0" w:line="360" w:lineRule="auto"/>
        <w:ind w:left="0" w:leftChars="0" w:right="0" w:rightChars="0" w:firstLine="643" w:firstLineChars="200"/>
        <w:textAlignment w:val="auto"/>
        <w:rPr>
          <w:rFonts w:hint="eastAsia" w:ascii="仿宋_GB2312" w:hAnsi="仿宋_GB2312" w:eastAsia="仿宋_GB2312" w:cs="仿宋_GB2312"/>
          <w:color w:val="auto"/>
          <w:sz w:val="32"/>
          <w:szCs w:val="32"/>
        </w:rPr>
      </w:pPr>
      <w:bookmarkStart w:id="34" w:name="_Toc466641281"/>
      <w:bookmarkStart w:id="35" w:name="_Toc459120957"/>
      <w:bookmarkStart w:id="36" w:name="_Toc8537"/>
      <w:r>
        <w:rPr>
          <w:rFonts w:hint="eastAsia" w:ascii="仿宋_GB2312" w:hAnsi="仿宋_GB2312" w:eastAsia="仿宋_GB2312" w:cs="仿宋_GB2312"/>
          <w:color w:val="auto"/>
          <w:sz w:val="32"/>
          <w:szCs w:val="32"/>
        </w:rPr>
        <w:t>1.</w:t>
      </w:r>
      <w:bookmarkStart w:id="37" w:name="_Toc450029656"/>
      <w:r>
        <w:rPr>
          <w:rFonts w:hint="eastAsia" w:ascii="仿宋_GB2312" w:hAnsi="仿宋_GB2312" w:eastAsia="仿宋_GB2312" w:cs="仿宋_GB2312"/>
          <w:color w:val="auto"/>
          <w:sz w:val="32"/>
          <w:szCs w:val="32"/>
        </w:rPr>
        <w:t>4基于常用腧穴的腧穴特异性和效应机理研究</w:t>
      </w:r>
      <w:bookmarkEnd w:id="34"/>
      <w:bookmarkEnd w:id="35"/>
      <w:bookmarkEnd w:id="36"/>
      <w:bookmarkEnd w:id="37"/>
    </w:p>
    <w:p>
      <w:pPr>
        <w:pStyle w:val="4"/>
        <w:keepNext w:val="0"/>
        <w:keepLines w:val="0"/>
        <w:pageBreakBefore w:val="0"/>
        <w:widowControl w:val="0"/>
        <w:kinsoku/>
        <w:wordWrap/>
        <w:overflowPunct/>
        <w:topLinePunct w:val="0"/>
        <w:bidi w:val="0"/>
        <w:adjustRightInd w:val="0"/>
        <w:snapToGrid w:val="0"/>
        <w:spacing w:before="0" w:after="0" w:line="360" w:lineRule="auto"/>
        <w:ind w:left="0" w:leftChars="0" w:right="0" w:rightChars="0" w:firstLine="643" w:firstLineChars="200"/>
        <w:textAlignment w:val="auto"/>
        <w:rPr>
          <w:rFonts w:hint="eastAsia" w:ascii="仿宋_GB2312" w:hAnsi="仿宋_GB2312" w:eastAsia="仿宋_GB2312" w:cs="仿宋_GB2312"/>
          <w:color w:val="auto"/>
          <w:sz w:val="32"/>
          <w:szCs w:val="32"/>
          <w:highlight w:val="yellow"/>
        </w:rPr>
      </w:pPr>
      <w:bookmarkStart w:id="38" w:name="_Toc5037"/>
      <w:r>
        <w:rPr>
          <w:rFonts w:hint="eastAsia" w:ascii="仿宋_GB2312" w:hAnsi="仿宋_GB2312" w:eastAsia="仿宋_GB2312" w:cs="仿宋_GB2312"/>
          <w:color w:val="auto"/>
          <w:sz w:val="32"/>
          <w:szCs w:val="32"/>
        </w:rPr>
        <w:t>1.4.</w:t>
      </w: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rPr>
        <w:t>经络学说关键问题的创新研究</w:t>
      </w:r>
      <w:bookmarkEnd w:id="38"/>
    </w:p>
    <w:p>
      <w:pPr>
        <w:pStyle w:val="3"/>
        <w:keepNext w:val="0"/>
        <w:keepLines w:val="0"/>
        <w:pageBreakBefore w:val="0"/>
        <w:widowControl w:val="0"/>
        <w:kinsoku/>
        <w:wordWrap/>
        <w:overflowPunct/>
        <w:topLinePunct w:val="0"/>
        <w:bidi w:val="0"/>
        <w:adjustRightInd w:val="0"/>
        <w:snapToGrid w:val="0"/>
        <w:spacing w:before="0" w:after="0" w:line="360" w:lineRule="auto"/>
        <w:ind w:left="0" w:leftChars="0" w:right="0" w:rightChars="0" w:firstLine="643" w:firstLineChars="200"/>
        <w:textAlignment w:val="auto"/>
        <w:rPr>
          <w:rFonts w:hint="eastAsia" w:ascii="仿宋_GB2312" w:hAnsi="仿宋_GB2312" w:eastAsia="仿宋_GB2312" w:cs="仿宋_GB2312"/>
          <w:b w:val="0"/>
          <w:bCs w:val="0"/>
          <w:color w:val="auto"/>
          <w:sz w:val="32"/>
          <w:szCs w:val="32"/>
        </w:rPr>
      </w:pPr>
      <w:bookmarkStart w:id="39" w:name="_Toc29704"/>
      <w:bookmarkStart w:id="40" w:name="_Toc466641288"/>
      <w:r>
        <w:rPr>
          <w:rFonts w:hint="eastAsia" w:ascii="仿宋_GB2312" w:hAnsi="仿宋_GB2312" w:eastAsia="仿宋_GB2312" w:cs="仿宋_GB2312"/>
          <w:b/>
          <w:bCs/>
          <w:color w:val="auto"/>
          <w:sz w:val="32"/>
          <w:szCs w:val="32"/>
        </w:rPr>
        <w:t>研究内容</w:t>
      </w:r>
      <w:r>
        <w:rPr>
          <w:rFonts w:hint="eastAsia" w:ascii="仿宋_GB2312" w:hAnsi="仿宋_GB2312" w:eastAsia="仿宋_GB2312" w:cs="仿宋_GB2312"/>
          <w:b w:val="0"/>
          <w:bCs w:val="0"/>
          <w:color w:val="auto"/>
          <w:sz w:val="32"/>
          <w:szCs w:val="32"/>
        </w:rPr>
        <w:t>：在系统梳理传统经络学说源流与发展的基础上，结合现代临床与基础研究的成果，利用现代科技的多种方法和手段，探索和解释古代经脉与脏腑相关以及循经感传等经络现象的生物学基础及其临床意义。</w:t>
      </w:r>
      <w:bookmarkEnd w:id="39"/>
    </w:p>
    <w:p>
      <w:pPr>
        <w:pStyle w:val="3"/>
        <w:keepNext w:val="0"/>
        <w:keepLines w:val="0"/>
        <w:pageBreakBefore w:val="0"/>
        <w:widowControl w:val="0"/>
        <w:kinsoku/>
        <w:wordWrap/>
        <w:overflowPunct/>
        <w:topLinePunct w:val="0"/>
        <w:bidi w:val="0"/>
        <w:adjustRightInd w:val="0"/>
        <w:snapToGrid w:val="0"/>
        <w:spacing w:before="0" w:after="0" w:line="360" w:lineRule="auto"/>
        <w:ind w:left="0" w:leftChars="0" w:right="0" w:rightChars="0" w:firstLine="643" w:firstLineChars="200"/>
        <w:textAlignment w:val="auto"/>
        <w:rPr>
          <w:rFonts w:hint="eastAsia" w:ascii="仿宋_GB2312" w:hAnsi="仿宋_GB2312" w:eastAsia="仿宋_GB2312" w:cs="仿宋_GB2312"/>
          <w:b w:val="0"/>
          <w:bCs w:val="0"/>
          <w:color w:val="auto"/>
          <w:sz w:val="32"/>
          <w:szCs w:val="32"/>
        </w:rPr>
      </w:pPr>
      <w:bookmarkStart w:id="41" w:name="_Toc31337"/>
      <w:r>
        <w:rPr>
          <w:rFonts w:hint="eastAsia" w:ascii="仿宋_GB2312" w:hAnsi="仿宋_GB2312" w:eastAsia="仿宋_GB2312" w:cs="仿宋_GB2312"/>
          <w:b/>
          <w:bCs/>
          <w:color w:val="auto"/>
          <w:sz w:val="32"/>
          <w:szCs w:val="32"/>
        </w:rPr>
        <w:t>考核指标</w:t>
      </w:r>
      <w:r>
        <w:rPr>
          <w:rFonts w:hint="eastAsia" w:ascii="仿宋_GB2312" w:hAnsi="仿宋_GB2312" w:eastAsia="仿宋_GB2312" w:cs="仿宋_GB2312"/>
          <w:b w:val="0"/>
          <w:bCs w:val="0"/>
          <w:color w:val="auto"/>
          <w:sz w:val="32"/>
          <w:szCs w:val="32"/>
        </w:rPr>
        <w:t>：提供若干依据充分、机制创新、可以有效解释经络现象的研究报告。</w:t>
      </w:r>
      <w:bookmarkEnd w:id="41"/>
    </w:p>
    <w:p>
      <w:pPr>
        <w:pStyle w:val="3"/>
        <w:keepNext w:val="0"/>
        <w:keepLines w:val="0"/>
        <w:pageBreakBefore w:val="0"/>
        <w:widowControl w:val="0"/>
        <w:kinsoku/>
        <w:wordWrap/>
        <w:overflowPunct/>
        <w:topLinePunct w:val="0"/>
        <w:bidi w:val="0"/>
        <w:adjustRightInd w:val="0"/>
        <w:snapToGrid w:val="0"/>
        <w:spacing w:before="0" w:after="0" w:line="360" w:lineRule="auto"/>
        <w:ind w:left="0" w:leftChars="0" w:right="0" w:rightChars="0" w:firstLine="640" w:firstLineChars="200"/>
        <w:textAlignment w:val="auto"/>
        <w:rPr>
          <w:rFonts w:hint="eastAsia" w:ascii="仿宋_GB2312" w:hAnsi="仿宋_GB2312" w:eastAsia="仿宋_GB2312" w:cs="仿宋_GB2312"/>
          <w:b w:val="0"/>
          <w:bCs w:val="0"/>
          <w:color w:val="auto"/>
          <w:sz w:val="32"/>
          <w:szCs w:val="32"/>
        </w:rPr>
      </w:pPr>
      <w:bookmarkStart w:id="42" w:name="_Toc18591"/>
      <w:r>
        <w:rPr>
          <w:rFonts w:hint="eastAsia" w:ascii="仿宋_GB2312" w:hAnsi="仿宋_GB2312" w:eastAsia="仿宋_GB2312" w:cs="仿宋_GB2312"/>
          <w:b w:val="0"/>
          <w:bCs w:val="0"/>
          <w:color w:val="auto"/>
          <w:sz w:val="32"/>
          <w:szCs w:val="32"/>
        </w:rPr>
        <w:t>支持年限：</w:t>
      </w:r>
      <w:bookmarkEnd w:id="42"/>
      <w:r>
        <w:rPr>
          <w:rFonts w:hint="eastAsia" w:ascii="仿宋_GB2312" w:hAnsi="仿宋_GB2312" w:eastAsia="仿宋_GB2312" w:cs="仿宋_GB2312"/>
          <w:b w:val="0"/>
          <w:bCs w:val="0"/>
          <w:color w:val="auto"/>
          <w:sz w:val="32"/>
          <w:szCs w:val="32"/>
        </w:rPr>
        <w:t>201</w:t>
      </w:r>
      <w:r>
        <w:rPr>
          <w:rFonts w:hint="eastAsia" w:ascii="仿宋_GB2312" w:hAnsi="仿宋_GB2312" w:eastAsia="仿宋_GB2312" w:cs="仿宋_GB2312"/>
          <w:b w:val="0"/>
          <w:bCs w:val="0"/>
          <w:color w:val="auto"/>
          <w:sz w:val="32"/>
          <w:szCs w:val="32"/>
          <w:lang w:val="en-US" w:eastAsia="zh-CN"/>
        </w:rPr>
        <w:t>8—</w:t>
      </w:r>
      <w:r>
        <w:rPr>
          <w:rFonts w:hint="eastAsia" w:ascii="仿宋_GB2312" w:hAnsi="仿宋_GB2312" w:eastAsia="仿宋_GB2312" w:cs="仿宋_GB2312"/>
          <w:b w:val="0"/>
          <w:bCs w:val="0"/>
          <w:color w:val="auto"/>
          <w:sz w:val="32"/>
          <w:szCs w:val="32"/>
        </w:rPr>
        <w:t>202</w:t>
      </w:r>
      <w:r>
        <w:rPr>
          <w:rFonts w:hint="eastAsia" w:ascii="仿宋_GB2312" w:hAnsi="仿宋_GB2312" w:eastAsia="仿宋_GB2312" w:cs="仿宋_GB2312"/>
          <w:b w:val="0"/>
          <w:bCs w:val="0"/>
          <w:color w:val="auto"/>
          <w:sz w:val="32"/>
          <w:szCs w:val="32"/>
          <w:lang w:val="en-US" w:eastAsia="zh-CN"/>
        </w:rPr>
        <w:t>1</w:t>
      </w:r>
      <w:r>
        <w:rPr>
          <w:rFonts w:hint="eastAsia" w:ascii="仿宋_GB2312" w:hAnsi="仿宋_GB2312" w:eastAsia="仿宋_GB2312" w:cs="仿宋_GB2312"/>
          <w:b w:val="0"/>
          <w:bCs w:val="0"/>
          <w:color w:val="auto"/>
          <w:sz w:val="32"/>
          <w:szCs w:val="32"/>
        </w:rPr>
        <w:t xml:space="preserve">年 </w:t>
      </w:r>
    </w:p>
    <w:p>
      <w:pPr>
        <w:pStyle w:val="3"/>
        <w:keepNext w:val="0"/>
        <w:keepLines w:val="0"/>
        <w:pageBreakBefore w:val="0"/>
        <w:widowControl w:val="0"/>
        <w:kinsoku/>
        <w:wordWrap/>
        <w:overflowPunct/>
        <w:topLinePunct w:val="0"/>
        <w:bidi w:val="0"/>
        <w:adjustRightInd w:val="0"/>
        <w:snapToGrid w:val="0"/>
        <w:spacing w:before="0" w:after="0" w:line="360" w:lineRule="auto"/>
        <w:ind w:left="0" w:leftChars="0" w:right="0" w:rightChars="0" w:firstLine="640" w:firstLineChars="200"/>
        <w:textAlignment w:val="auto"/>
        <w:rPr>
          <w:rFonts w:hint="eastAsia" w:ascii="仿宋_GB2312" w:hAnsi="仿宋_GB2312" w:eastAsia="仿宋_GB2312" w:cs="仿宋_GB2312"/>
          <w:b w:val="0"/>
          <w:bCs w:val="0"/>
          <w:color w:val="auto"/>
          <w:sz w:val="32"/>
          <w:szCs w:val="32"/>
        </w:rPr>
      </w:pPr>
      <w:bookmarkStart w:id="43" w:name="_Toc29408"/>
      <w:r>
        <w:rPr>
          <w:rFonts w:hint="eastAsia" w:ascii="仿宋_GB2312" w:hAnsi="仿宋_GB2312" w:eastAsia="仿宋_GB2312" w:cs="仿宋_GB2312"/>
          <w:b w:val="0"/>
          <w:bCs w:val="0"/>
          <w:color w:val="auto"/>
          <w:sz w:val="32"/>
          <w:szCs w:val="32"/>
        </w:rPr>
        <w:t>拟支持项目数：</w:t>
      </w:r>
      <w:r>
        <w:rPr>
          <w:rFonts w:hint="eastAsia" w:ascii="仿宋_GB2312" w:hAnsi="仿宋_GB2312" w:eastAsia="仿宋_GB2312" w:cs="仿宋_GB2312"/>
          <w:b w:val="0"/>
          <w:bCs w:val="0"/>
          <w:color w:val="auto"/>
          <w:sz w:val="32"/>
          <w:szCs w:val="32"/>
          <w:lang w:eastAsia="zh-CN"/>
        </w:rPr>
        <w:t>不超过</w:t>
      </w:r>
      <w:r>
        <w:rPr>
          <w:rFonts w:hint="eastAsia" w:ascii="仿宋_GB2312" w:hAnsi="仿宋_GB2312" w:eastAsia="仿宋_GB2312" w:cs="仿宋_GB2312"/>
          <w:b w:val="0"/>
          <w:bCs w:val="0"/>
          <w:color w:val="auto"/>
          <w:sz w:val="32"/>
          <w:szCs w:val="32"/>
          <w:lang w:val="en-US" w:eastAsia="zh-CN"/>
        </w:rPr>
        <w:t>2</w:t>
      </w:r>
      <w:r>
        <w:rPr>
          <w:rFonts w:hint="eastAsia" w:ascii="仿宋_GB2312" w:hAnsi="仿宋_GB2312" w:eastAsia="仿宋_GB2312" w:cs="仿宋_GB2312"/>
          <w:b w:val="0"/>
          <w:bCs w:val="0"/>
          <w:color w:val="auto"/>
          <w:sz w:val="32"/>
          <w:szCs w:val="32"/>
        </w:rPr>
        <w:t>项</w:t>
      </w:r>
      <w:bookmarkEnd w:id="43"/>
    </w:p>
    <w:p>
      <w:pPr>
        <w:pStyle w:val="3"/>
        <w:keepNext w:val="0"/>
        <w:keepLines w:val="0"/>
        <w:pageBreakBefore w:val="0"/>
        <w:widowControl w:val="0"/>
        <w:kinsoku/>
        <w:wordWrap/>
        <w:overflowPunct/>
        <w:topLinePunct w:val="0"/>
        <w:bidi w:val="0"/>
        <w:adjustRightInd w:val="0"/>
        <w:snapToGrid w:val="0"/>
        <w:spacing w:before="0" w:after="0" w:line="360" w:lineRule="auto"/>
        <w:ind w:left="0" w:leftChars="0" w:right="0" w:rightChars="0" w:firstLine="643" w:firstLineChars="200"/>
        <w:textAlignment w:val="auto"/>
        <w:rPr>
          <w:rFonts w:hint="eastAsia" w:ascii="仿宋_GB2312" w:hAnsi="仿宋_GB2312" w:eastAsia="仿宋_GB2312" w:cs="仿宋_GB2312"/>
          <w:bCs w:val="0"/>
          <w:color w:val="auto"/>
          <w:sz w:val="32"/>
          <w:szCs w:val="32"/>
          <w:lang w:val="en-US" w:eastAsia="zh-CN"/>
        </w:rPr>
      </w:pPr>
      <w:bookmarkStart w:id="44" w:name="_Toc19104"/>
      <w:r>
        <w:rPr>
          <w:rFonts w:hint="eastAsia" w:ascii="仿宋_GB2312" w:hAnsi="仿宋_GB2312" w:eastAsia="仿宋_GB2312" w:cs="仿宋_GB2312"/>
          <w:bCs w:val="0"/>
          <w:color w:val="auto"/>
          <w:sz w:val="32"/>
          <w:szCs w:val="32"/>
          <w:lang w:val="en-US" w:eastAsia="zh-CN"/>
        </w:rPr>
        <w:t>1.5中医“治未病”理论构建与辨识方法技术研究</w:t>
      </w:r>
    </w:p>
    <w:p>
      <w:pPr>
        <w:pStyle w:val="3"/>
        <w:keepNext w:val="0"/>
        <w:keepLines w:val="0"/>
        <w:pageBreakBefore w:val="0"/>
        <w:widowControl w:val="0"/>
        <w:kinsoku/>
        <w:wordWrap/>
        <w:overflowPunct/>
        <w:topLinePunct w:val="0"/>
        <w:bidi w:val="0"/>
        <w:adjustRightInd w:val="0"/>
        <w:snapToGrid w:val="0"/>
        <w:spacing w:before="0" w:after="0" w:line="360" w:lineRule="auto"/>
        <w:ind w:left="0" w:leftChars="0" w:right="0" w:rightChars="0" w:firstLine="643" w:firstLineChars="200"/>
        <w:textAlignment w:val="auto"/>
        <w:rPr>
          <w:rFonts w:hint="eastAsia" w:ascii="仿宋_GB2312" w:hAnsi="仿宋_GB2312" w:eastAsia="仿宋_GB2312" w:cs="仿宋_GB2312"/>
          <w:bCs w:val="0"/>
          <w:color w:val="auto"/>
          <w:sz w:val="32"/>
          <w:szCs w:val="32"/>
          <w:highlight w:val="none"/>
        </w:rPr>
      </w:pPr>
      <w:r>
        <w:rPr>
          <w:rFonts w:hint="eastAsia" w:ascii="仿宋_GB2312" w:hAnsi="仿宋_GB2312" w:eastAsia="仿宋_GB2312" w:cs="仿宋_GB2312"/>
          <w:bCs w:val="0"/>
          <w:color w:val="auto"/>
          <w:sz w:val="32"/>
          <w:szCs w:val="32"/>
          <w:highlight w:val="none"/>
        </w:rPr>
        <w:t>1.5</w:t>
      </w:r>
      <w:r>
        <w:rPr>
          <w:rFonts w:hint="eastAsia" w:ascii="仿宋_GB2312" w:hAnsi="仿宋_GB2312" w:eastAsia="仿宋_GB2312" w:cs="仿宋_GB2312"/>
          <w:bCs w:val="0"/>
          <w:color w:val="auto"/>
          <w:sz w:val="32"/>
          <w:szCs w:val="32"/>
          <w:highlight w:val="none"/>
          <w:lang w:val="en-US" w:eastAsia="zh-CN"/>
        </w:rPr>
        <w:t>.1</w:t>
      </w:r>
      <w:r>
        <w:rPr>
          <w:rFonts w:hint="eastAsia" w:ascii="仿宋_GB2312" w:hAnsi="仿宋_GB2312" w:eastAsia="仿宋_GB2312" w:cs="仿宋_GB2312"/>
          <w:bCs w:val="0"/>
          <w:color w:val="auto"/>
          <w:sz w:val="32"/>
          <w:szCs w:val="32"/>
          <w:highlight w:val="none"/>
        </w:rPr>
        <w:t>中医“治未病”辨识方法与干预技术研究</w:t>
      </w:r>
      <w:bookmarkEnd w:id="40"/>
      <w:bookmarkEnd w:id="44"/>
    </w:p>
    <w:p>
      <w:pPr>
        <w:keepNext w:val="0"/>
        <w:keepLines w:val="0"/>
        <w:pageBreakBefore w:val="0"/>
        <w:widowControl w:val="0"/>
        <w:kinsoku/>
        <w:wordWrap/>
        <w:overflowPunct/>
        <w:topLinePunct w:val="0"/>
        <w:bidi w:val="0"/>
        <w:adjustRightInd w:val="0"/>
        <w:snapToGrid w:val="0"/>
        <w:spacing w:line="360" w:lineRule="auto"/>
        <w:ind w:left="0" w:leftChars="0" w:right="0" w:rightChars="0" w:firstLine="643" w:firstLineChars="200"/>
        <w:textAlignment w:val="auto"/>
        <w:rPr>
          <w:rFonts w:hint="eastAsia" w:ascii="仿宋_GB2312" w:hAnsi="仿宋_GB2312" w:eastAsia="仿宋_GB2312" w:cs="仿宋_GB2312"/>
          <w:bCs/>
          <w:color w:val="auto"/>
          <w:sz w:val="32"/>
          <w:szCs w:val="32"/>
          <w:highlight w:val="none"/>
        </w:rPr>
      </w:pPr>
      <w:r>
        <w:rPr>
          <w:rFonts w:hint="eastAsia" w:ascii="仿宋_GB2312" w:hAnsi="仿宋_GB2312" w:eastAsia="仿宋_GB2312" w:cs="仿宋_GB2312"/>
          <w:b/>
          <w:bCs/>
          <w:color w:val="auto"/>
          <w:sz w:val="32"/>
          <w:szCs w:val="32"/>
          <w:highlight w:val="none"/>
        </w:rPr>
        <w:t>研究内容</w:t>
      </w:r>
      <w:r>
        <w:rPr>
          <w:rFonts w:hint="eastAsia" w:ascii="仿宋_GB2312" w:hAnsi="仿宋_GB2312" w:eastAsia="仿宋_GB2312" w:cs="仿宋_GB2312"/>
          <w:bCs/>
          <w:color w:val="auto"/>
          <w:sz w:val="32"/>
          <w:szCs w:val="32"/>
          <w:highlight w:val="none"/>
        </w:rPr>
        <w:t>：开展中医“养生保健”的生物学基础研究，完善中医养生保健的理论体系，研究养生保健的自我调理与外部干预方法以及效果的评估方法；研发疾病早期发现，早期干预的有效方法和中医技术体系，研究养生保健与“治未病”的服务模式。</w:t>
      </w:r>
    </w:p>
    <w:p>
      <w:pPr>
        <w:keepNext w:val="0"/>
        <w:keepLines w:val="0"/>
        <w:pageBreakBefore w:val="0"/>
        <w:widowControl w:val="0"/>
        <w:kinsoku/>
        <w:wordWrap/>
        <w:overflowPunct/>
        <w:topLinePunct w:val="0"/>
        <w:bidi w:val="0"/>
        <w:adjustRightInd w:val="0"/>
        <w:snapToGrid w:val="0"/>
        <w:spacing w:line="360" w:lineRule="auto"/>
        <w:ind w:left="0" w:leftChars="0" w:right="0" w:rightChars="0" w:firstLine="643" w:firstLineChars="200"/>
        <w:textAlignment w:val="auto"/>
        <w:rPr>
          <w:rFonts w:hint="eastAsia" w:ascii="仿宋_GB2312" w:hAnsi="仿宋_GB2312" w:eastAsia="仿宋_GB2312" w:cs="仿宋_GB2312"/>
          <w:bCs/>
          <w:color w:val="auto"/>
          <w:sz w:val="32"/>
          <w:szCs w:val="32"/>
          <w:highlight w:val="none"/>
        </w:rPr>
      </w:pPr>
      <w:r>
        <w:rPr>
          <w:rFonts w:hint="eastAsia" w:ascii="仿宋_GB2312" w:hAnsi="仿宋_GB2312" w:eastAsia="仿宋_GB2312" w:cs="仿宋_GB2312"/>
          <w:b/>
          <w:bCs/>
          <w:color w:val="auto"/>
          <w:sz w:val="32"/>
          <w:szCs w:val="32"/>
          <w:highlight w:val="none"/>
        </w:rPr>
        <w:t>考核指标</w:t>
      </w:r>
      <w:r>
        <w:rPr>
          <w:rFonts w:hint="eastAsia" w:ascii="仿宋_GB2312" w:hAnsi="仿宋_GB2312" w:eastAsia="仿宋_GB2312" w:cs="仿宋_GB2312"/>
          <w:bCs/>
          <w:color w:val="auto"/>
          <w:sz w:val="32"/>
          <w:szCs w:val="32"/>
          <w:highlight w:val="none"/>
        </w:rPr>
        <w:t>：形成不少于10种系列中医“养生保健”方法和10</w:t>
      </w:r>
      <w:r>
        <w:rPr>
          <w:rFonts w:hint="eastAsia" w:ascii="仿宋_GB2312" w:hAnsi="仿宋_GB2312" w:eastAsia="仿宋_GB2312" w:cs="仿宋_GB2312"/>
          <w:bCs/>
          <w:color w:val="auto"/>
          <w:sz w:val="32"/>
          <w:szCs w:val="32"/>
        </w:rPr>
        <w:t>～</w:t>
      </w:r>
      <w:r>
        <w:rPr>
          <w:rFonts w:hint="eastAsia" w:ascii="仿宋_GB2312" w:hAnsi="仿宋_GB2312" w:eastAsia="仿宋_GB2312" w:cs="仿宋_GB2312"/>
          <w:bCs/>
          <w:color w:val="auto"/>
          <w:sz w:val="32"/>
          <w:szCs w:val="32"/>
          <w:highlight w:val="none"/>
        </w:rPr>
        <w:t>15种中医“治未病”疾病早期发现与干预技术服务包，构建并实践1</w:t>
      </w:r>
      <w:r>
        <w:rPr>
          <w:rFonts w:hint="eastAsia" w:ascii="仿宋_GB2312" w:hAnsi="仿宋_GB2312" w:eastAsia="仿宋_GB2312" w:cs="仿宋_GB2312"/>
          <w:bCs/>
          <w:color w:val="auto"/>
          <w:sz w:val="32"/>
          <w:szCs w:val="32"/>
        </w:rPr>
        <w:t>～</w:t>
      </w:r>
      <w:r>
        <w:rPr>
          <w:rFonts w:hint="eastAsia" w:ascii="仿宋_GB2312" w:hAnsi="仿宋_GB2312" w:eastAsia="仿宋_GB2312" w:cs="仿宋_GB2312"/>
          <w:bCs/>
          <w:color w:val="auto"/>
          <w:sz w:val="32"/>
          <w:szCs w:val="32"/>
          <w:highlight w:val="none"/>
        </w:rPr>
        <w:t>2种可复制、可推广的“养生保健”、“治未病”的服务模式。</w:t>
      </w:r>
    </w:p>
    <w:p>
      <w:pPr>
        <w:keepNext w:val="0"/>
        <w:keepLines w:val="0"/>
        <w:pageBreakBefore w:val="0"/>
        <w:widowControl w:val="0"/>
        <w:kinsoku/>
        <w:wordWrap/>
        <w:overflowPunct/>
        <w:topLinePunct w:val="0"/>
        <w:bidi w:val="0"/>
        <w:adjustRightInd w:val="0"/>
        <w:snapToGrid w:val="0"/>
        <w:spacing w:line="360" w:lineRule="auto"/>
        <w:ind w:left="0" w:leftChars="0" w:right="0" w:rightChars="0" w:firstLine="640" w:firstLineChars="200"/>
        <w:textAlignment w:val="auto"/>
        <w:rPr>
          <w:rFonts w:hint="eastAsia" w:ascii="仿宋_GB2312" w:hAnsi="仿宋_GB2312" w:eastAsia="仿宋_GB2312" w:cs="仿宋_GB2312"/>
          <w:bCs/>
          <w:color w:val="auto"/>
          <w:sz w:val="32"/>
          <w:szCs w:val="32"/>
          <w:highlight w:val="none"/>
        </w:rPr>
      </w:pPr>
      <w:r>
        <w:rPr>
          <w:rFonts w:hint="eastAsia" w:ascii="仿宋_GB2312" w:hAnsi="仿宋_GB2312" w:eastAsia="仿宋_GB2312" w:cs="仿宋_GB2312"/>
          <w:bCs/>
          <w:color w:val="auto"/>
          <w:sz w:val="32"/>
          <w:szCs w:val="32"/>
          <w:highlight w:val="none"/>
        </w:rPr>
        <w:t>支持年限：</w:t>
      </w:r>
      <w:r>
        <w:rPr>
          <w:rFonts w:hint="eastAsia" w:ascii="仿宋_GB2312" w:hAnsi="仿宋_GB2312" w:eastAsia="仿宋_GB2312" w:cs="仿宋_GB2312"/>
          <w:color w:val="auto"/>
          <w:sz w:val="32"/>
          <w:szCs w:val="32"/>
        </w:rPr>
        <w:t>201</w:t>
      </w:r>
      <w:r>
        <w:rPr>
          <w:rFonts w:hint="eastAsia" w:ascii="仿宋_GB2312" w:hAnsi="仿宋_GB2312" w:eastAsia="仿宋_GB2312" w:cs="仿宋_GB2312"/>
          <w:color w:val="auto"/>
          <w:sz w:val="32"/>
          <w:szCs w:val="32"/>
          <w:lang w:val="en-US" w:eastAsia="zh-CN"/>
        </w:rPr>
        <w:t>8—</w:t>
      </w:r>
      <w:r>
        <w:rPr>
          <w:rFonts w:hint="eastAsia" w:ascii="仿宋_GB2312" w:hAnsi="仿宋_GB2312" w:eastAsia="仿宋_GB2312" w:cs="仿宋_GB2312"/>
          <w:color w:val="auto"/>
          <w:sz w:val="32"/>
          <w:szCs w:val="32"/>
        </w:rPr>
        <w:t>202</w:t>
      </w: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rPr>
        <w:t>年</w:t>
      </w:r>
    </w:p>
    <w:p>
      <w:pPr>
        <w:keepNext w:val="0"/>
        <w:keepLines w:val="0"/>
        <w:pageBreakBefore w:val="0"/>
        <w:widowControl w:val="0"/>
        <w:kinsoku/>
        <w:wordWrap/>
        <w:overflowPunct/>
        <w:topLinePunct w:val="0"/>
        <w:bidi w:val="0"/>
        <w:adjustRightInd w:val="0"/>
        <w:snapToGrid w:val="0"/>
        <w:spacing w:line="360" w:lineRule="auto"/>
        <w:ind w:left="0" w:leftChars="0" w:right="0" w:rightChars="0"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bCs/>
          <w:color w:val="auto"/>
          <w:sz w:val="32"/>
          <w:szCs w:val="32"/>
          <w:highlight w:val="none"/>
        </w:rPr>
        <w:t>拟支持项目数：1</w:t>
      </w:r>
      <w:r>
        <w:rPr>
          <w:rFonts w:hint="eastAsia" w:ascii="仿宋_GB2312" w:hAnsi="仿宋_GB2312" w:eastAsia="仿宋_GB2312" w:cs="仿宋_GB2312"/>
          <w:bCs/>
          <w:color w:val="auto"/>
          <w:sz w:val="32"/>
          <w:szCs w:val="32"/>
        </w:rPr>
        <w:t>～</w:t>
      </w:r>
      <w:r>
        <w:rPr>
          <w:rFonts w:hint="eastAsia" w:ascii="仿宋_GB2312" w:hAnsi="仿宋_GB2312" w:eastAsia="仿宋_GB2312" w:cs="仿宋_GB2312"/>
          <w:bCs/>
          <w:color w:val="auto"/>
          <w:sz w:val="32"/>
          <w:szCs w:val="32"/>
          <w:highlight w:val="none"/>
        </w:rPr>
        <w:t>2项</w:t>
      </w:r>
    </w:p>
    <w:p>
      <w:pPr>
        <w:pStyle w:val="2"/>
        <w:keepNext w:val="0"/>
        <w:keepLines w:val="0"/>
        <w:pageBreakBefore w:val="0"/>
        <w:widowControl w:val="0"/>
        <w:kinsoku/>
        <w:wordWrap/>
        <w:overflowPunct/>
        <w:topLinePunct w:val="0"/>
        <w:bidi w:val="0"/>
        <w:adjustRightInd w:val="0"/>
        <w:snapToGrid w:val="0"/>
        <w:spacing w:before="0" w:after="0" w:line="360" w:lineRule="auto"/>
        <w:ind w:left="0" w:leftChars="0" w:right="0" w:rightChars="0" w:firstLine="643" w:firstLineChars="200"/>
        <w:textAlignment w:val="auto"/>
        <w:rPr>
          <w:rFonts w:hint="eastAsia" w:ascii="仿宋_GB2312" w:hAnsi="仿宋_GB2312" w:eastAsia="仿宋_GB2312" w:cs="仿宋_GB2312"/>
          <w:color w:val="auto"/>
          <w:sz w:val="32"/>
          <w:szCs w:val="32"/>
        </w:rPr>
      </w:pPr>
      <w:bookmarkStart w:id="45" w:name="_Toc459120967"/>
      <w:bookmarkStart w:id="46" w:name="_Toc450029671"/>
      <w:bookmarkStart w:id="47" w:name="_Toc16448"/>
      <w:bookmarkStart w:id="48" w:name="_Toc466641292"/>
      <w:r>
        <w:rPr>
          <w:rFonts w:hint="eastAsia" w:ascii="仿宋_GB2312" w:hAnsi="仿宋_GB2312" w:eastAsia="仿宋_GB2312" w:cs="仿宋_GB2312"/>
          <w:color w:val="auto"/>
          <w:sz w:val="32"/>
          <w:szCs w:val="32"/>
        </w:rPr>
        <w:t>2中医药防治重大疾病研究</w:t>
      </w:r>
      <w:bookmarkEnd w:id="45"/>
      <w:bookmarkEnd w:id="46"/>
      <w:bookmarkEnd w:id="47"/>
      <w:bookmarkEnd w:id="48"/>
    </w:p>
    <w:p>
      <w:pPr>
        <w:keepNext w:val="0"/>
        <w:keepLines w:val="0"/>
        <w:pageBreakBefore w:val="0"/>
        <w:widowControl w:val="0"/>
        <w:kinsoku/>
        <w:wordWrap/>
        <w:overflowPunct/>
        <w:topLinePunct w:val="0"/>
        <w:bidi w:val="0"/>
        <w:adjustRightInd w:val="0"/>
        <w:snapToGrid w:val="0"/>
        <w:spacing w:line="360" w:lineRule="auto"/>
        <w:ind w:left="0" w:leftChars="0" w:right="0" w:rightChars="0" w:firstLine="643" w:firstLineChars="200"/>
        <w:textAlignment w:val="auto"/>
        <w:rPr>
          <w:rFonts w:hint="eastAsia" w:ascii="仿宋_GB2312" w:hAnsi="仿宋_GB2312" w:eastAsia="仿宋_GB2312" w:cs="仿宋_GB2312"/>
          <w:b/>
          <w:bCs/>
          <w:color w:val="auto"/>
          <w:sz w:val="32"/>
          <w:szCs w:val="32"/>
          <w:lang w:val="en-US" w:eastAsia="zh-CN"/>
        </w:rPr>
      </w:pPr>
      <w:bookmarkStart w:id="49" w:name="_Toc10097"/>
      <w:bookmarkStart w:id="50" w:name="_Toc466641293"/>
      <w:bookmarkStart w:id="51" w:name="_Toc459120968"/>
      <w:bookmarkStart w:id="52" w:name="_Toc450029672"/>
      <w:r>
        <w:rPr>
          <w:rFonts w:hint="eastAsia" w:ascii="仿宋_GB2312" w:hAnsi="仿宋_GB2312" w:eastAsia="仿宋_GB2312" w:cs="仿宋_GB2312"/>
          <w:b/>
          <w:bCs/>
          <w:color w:val="auto"/>
          <w:sz w:val="32"/>
          <w:szCs w:val="32"/>
          <w:lang w:val="en-US" w:eastAsia="zh-CN"/>
        </w:rPr>
        <w:t>2.1重大疾病中医药防治方案优化循证评价研究</w:t>
      </w:r>
    </w:p>
    <w:p>
      <w:pPr>
        <w:keepNext w:val="0"/>
        <w:keepLines w:val="0"/>
        <w:pageBreakBefore w:val="0"/>
        <w:widowControl w:val="0"/>
        <w:kinsoku/>
        <w:wordWrap/>
        <w:overflowPunct/>
        <w:topLinePunct w:val="0"/>
        <w:bidi w:val="0"/>
        <w:adjustRightInd w:val="0"/>
        <w:snapToGrid w:val="0"/>
        <w:spacing w:line="360" w:lineRule="auto"/>
        <w:ind w:left="0" w:leftChars="0" w:right="0" w:rightChars="0" w:firstLine="643" w:firstLineChars="200"/>
        <w:textAlignment w:val="auto"/>
        <w:rPr>
          <w:rFonts w:hint="eastAsia" w:ascii="仿宋_GB2312" w:hAnsi="仿宋_GB2312" w:eastAsia="仿宋_GB2312" w:cs="仿宋_GB2312"/>
          <w:b/>
          <w:bCs/>
          <w:color w:val="auto"/>
          <w:sz w:val="32"/>
          <w:szCs w:val="32"/>
        </w:rPr>
      </w:pPr>
      <w:r>
        <w:rPr>
          <w:rFonts w:hint="eastAsia" w:ascii="仿宋_GB2312" w:hAnsi="仿宋_GB2312" w:eastAsia="仿宋_GB2312" w:cs="仿宋_GB2312"/>
          <w:b/>
          <w:bCs/>
          <w:color w:val="auto"/>
          <w:sz w:val="32"/>
          <w:szCs w:val="32"/>
        </w:rPr>
        <w:t>2.1</w:t>
      </w:r>
      <w:bookmarkEnd w:id="49"/>
      <w:r>
        <w:rPr>
          <w:rFonts w:hint="eastAsia" w:ascii="仿宋_GB2312" w:hAnsi="仿宋_GB2312" w:eastAsia="仿宋_GB2312" w:cs="仿宋_GB2312"/>
          <w:b/>
          <w:bCs/>
          <w:color w:val="auto"/>
          <w:sz w:val="32"/>
          <w:szCs w:val="32"/>
          <w:lang w:val="en-US" w:eastAsia="zh-CN"/>
        </w:rPr>
        <w:t>.1中风、糖尿病等</w:t>
      </w:r>
      <w:r>
        <w:rPr>
          <w:rFonts w:hint="eastAsia" w:ascii="仿宋_GB2312" w:hAnsi="仿宋_GB2312" w:eastAsia="仿宋_GB2312" w:cs="仿宋_GB2312"/>
          <w:b/>
          <w:bCs/>
          <w:color w:val="auto"/>
          <w:sz w:val="32"/>
          <w:szCs w:val="32"/>
        </w:rPr>
        <w:t>重大疾病中医药防治方案优化循证评价研究</w:t>
      </w:r>
    </w:p>
    <w:p>
      <w:pPr>
        <w:keepNext w:val="0"/>
        <w:keepLines w:val="0"/>
        <w:pageBreakBefore w:val="0"/>
        <w:widowControl w:val="0"/>
        <w:kinsoku/>
        <w:wordWrap/>
        <w:overflowPunct/>
        <w:topLinePunct w:val="0"/>
        <w:bidi w:val="0"/>
        <w:adjustRightInd w:val="0"/>
        <w:snapToGrid w:val="0"/>
        <w:spacing w:line="360" w:lineRule="auto"/>
        <w:ind w:left="0" w:leftChars="0" w:right="0" w:rightChars="0" w:firstLine="643" w:firstLineChars="200"/>
        <w:textAlignment w:val="auto"/>
        <w:rPr>
          <w:rFonts w:hint="eastAsia" w:ascii="仿宋_GB2312" w:hAnsi="仿宋_GB2312" w:eastAsia="仿宋_GB2312" w:cs="仿宋_GB2312"/>
          <w:bCs/>
          <w:color w:val="auto"/>
          <w:sz w:val="32"/>
          <w:szCs w:val="32"/>
        </w:rPr>
      </w:pPr>
      <w:r>
        <w:rPr>
          <w:rFonts w:hint="eastAsia" w:ascii="仿宋_GB2312" w:hAnsi="仿宋_GB2312" w:eastAsia="仿宋_GB2312" w:cs="仿宋_GB2312"/>
          <w:b/>
          <w:bCs/>
          <w:color w:val="auto"/>
          <w:sz w:val="32"/>
          <w:szCs w:val="32"/>
        </w:rPr>
        <w:t>研究内容</w:t>
      </w:r>
      <w:r>
        <w:rPr>
          <w:rFonts w:hint="eastAsia" w:ascii="仿宋_GB2312" w:hAnsi="仿宋_GB2312" w:eastAsia="仿宋_GB2312" w:cs="仿宋_GB2312"/>
          <w:bCs/>
          <w:color w:val="auto"/>
          <w:sz w:val="32"/>
          <w:szCs w:val="32"/>
        </w:rPr>
        <w:t>：</w:t>
      </w:r>
      <w:r>
        <w:rPr>
          <w:rFonts w:hint="eastAsia" w:ascii="仿宋_GB2312" w:hAnsi="仿宋_GB2312" w:eastAsia="仿宋_GB2312" w:cs="仿宋_GB2312"/>
          <w:bCs/>
          <w:color w:val="auto"/>
          <w:sz w:val="32"/>
          <w:szCs w:val="32"/>
          <w:lang w:eastAsia="zh-CN"/>
        </w:rPr>
        <w:t>针对中医临床优势突出、治疗方案成熟、已经具备一定循证证据的中风、高血压、糖尿病、肺癌等</w:t>
      </w:r>
      <w:r>
        <w:rPr>
          <w:rFonts w:hint="eastAsia" w:ascii="仿宋_GB2312" w:hAnsi="仿宋_GB2312" w:eastAsia="仿宋_GB2312" w:cs="仿宋_GB2312"/>
          <w:bCs/>
          <w:color w:val="auto"/>
          <w:sz w:val="32"/>
          <w:szCs w:val="32"/>
        </w:rPr>
        <w:t>的中医防治，以中医药诊治特色和优势为切入点，明确提高临床疗效的关键环节，以提高疗效为目标优化方案，开展大样本、多中心随机对照临床研究和疗效机制的研究，形成高质量、国际公认的临床证据。</w:t>
      </w:r>
    </w:p>
    <w:p>
      <w:pPr>
        <w:keepNext w:val="0"/>
        <w:keepLines w:val="0"/>
        <w:pageBreakBefore w:val="0"/>
        <w:widowControl w:val="0"/>
        <w:kinsoku/>
        <w:wordWrap/>
        <w:overflowPunct/>
        <w:topLinePunct w:val="0"/>
        <w:bidi w:val="0"/>
        <w:adjustRightInd w:val="0"/>
        <w:snapToGrid w:val="0"/>
        <w:spacing w:line="360" w:lineRule="auto"/>
        <w:ind w:left="0" w:leftChars="0" w:right="0" w:rightChars="0" w:firstLine="643" w:firstLineChars="200"/>
        <w:textAlignment w:val="auto"/>
        <w:rPr>
          <w:rFonts w:hint="eastAsia" w:ascii="仿宋_GB2312" w:hAnsi="仿宋_GB2312" w:eastAsia="仿宋_GB2312" w:cs="仿宋_GB2312"/>
          <w:bCs/>
          <w:color w:val="auto"/>
          <w:sz w:val="32"/>
          <w:szCs w:val="32"/>
        </w:rPr>
      </w:pPr>
      <w:r>
        <w:rPr>
          <w:rFonts w:hint="eastAsia" w:ascii="仿宋_GB2312" w:hAnsi="仿宋_GB2312" w:eastAsia="仿宋_GB2312" w:cs="仿宋_GB2312"/>
          <w:b/>
          <w:bCs/>
          <w:color w:val="auto"/>
          <w:sz w:val="32"/>
          <w:szCs w:val="32"/>
        </w:rPr>
        <w:t>考核指标</w:t>
      </w:r>
      <w:r>
        <w:rPr>
          <w:rFonts w:hint="eastAsia" w:ascii="仿宋_GB2312" w:hAnsi="仿宋_GB2312" w:eastAsia="仿宋_GB2312" w:cs="仿宋_GB2312"/>
          <w:bCs/>
          <w:color w:val="auto"/>
          <w:sz w:val="32"/>
          <w:szCs w:val="32"/>
        </w:rPr>
        <w:t>：完成中医防治某种重大疾病的大样本多中心随机对照临床研究，每个研究样本量不少于500例；初步阐明作用规律和可能机制，为形成可推广应用的临床方案提供依据；获得高质量的、国际公认的临床证据，在国际高影响力期刊发表论文1～2篇并纳入高级别中医和西医临床指南。</w:t>
      </w:r>
    </w:p>
    <w:p>
      <w:pPr>
        <w:keepNext w:val="0"/>
        <w:keepLines w:val="0"/>
        <w:pageBreakBefore w:val="0"/>
        <w:widowControl w:val="0"/>
        <w:kinsoku/>
        <w:wordWrap/>
        <w:overflowPunct/>
        <w:topLinePunct w:val="0"/>
        <w:bidi w:val="0"/>
        <w:adjustRightInd w:val="0"/>
        <w:snapToGrid w:val="0"/>
        <w:spacing w:line="360" w:lineRule="auto"/>
        <w:ind w:left="0" w:leftChars="0" w:right="0" w:rightChars="0" w:firstLine="640" w:firstLineChars="200"/>
        <w:textAlignment w:val="auto"/>
        <w:rPr>
          <w:rFonts w:hint="eastAsia" w:ascii="仿宋_GB2312" w:hAnsi="仿宋_GB2312" w:eastAsia="仿宋_GB2312" w:cs="仿宋_GB2312"/>
          <w:bCs/>
          <w:color w:val="auto"/>
          <w:sz w:val="32"/>
          <w:szCs w:val="32"/>
        </w:rPr>
      </w:pPr>
      <w:r>
        <w:rPr>
          <w:rFonts w:hint="eastAsia" w:ascii="仿宋_GB2312" w:hAnsi="仿宋_GB2312" w:eastAsia="仿宋_GB2312" w:cs="仿宋_GB2312"/>
          <w:bCs/>
          <w:color w:val="auto"/>
          <w:sz w:val="32"/>
          <w:szCs w:val="32"/>
          <w:lang w:eastAsia="zh-CN"/>
        </w:rPr>
        <w:t>实施</w:t>
      </w:r>
      <w:r>
        <w:rPr>
          <w:rFonts w:hint="eastAsia" w:ascii="仿宋_GB2312" w:hAnsi="仿宋_GB2312" w:eastAsia="仿宋_GB2312" w:cs="仿宋_GB2312"/>
          <w:bCs/>
          <w:color w:val="auto"/>
          <w:sz w:val="32"/>
          <w:szCs w:val="32"/>
        </w:rPr>
        <w:t>年限：201</w:t>
      </w:r>
      <w:r>
        <w:rPr>
          <w:rFonts w:hint="eastAsia" w:ascii="仿宋_GB2312" w:hAnsi="仿宋_GB2312" w:eastAsia="仿宋_GB2312" w:cs="仿宋_GB2312"/>
          <w:bCs/>
          <w:color w:val="auto"/>
          <w:sz w:val="32"/>
          <w:szCs w:val="32"/>
          <w:lang w:val="en-US" w:eastAsia="zh-CN"/>
        </w:rPr>
        <w:t>8</w:t>
      </w:r>
      <w:r>
        <w:rPr>
          <w:rFonts w:hint="eastAsia" w:ascii="仿宋_GB2312" w:hAnsi="仿宋_GB2312" w:eastAsia="仿宋_GB2312" w:cs="仿宋_GB2312"/>
          <w:bCs/>
          <w:color w:val="auto"/>
          <w:sz w:val="32"/>
          <w:szCs w:val="32"/>
          <w:lang w:eastAsia="zh-CN"/>
        </w:rPr>
        <w:t>—</w:t>
      </w:r>
      <w:r>
        <w:rPr>
          <w:rFonts w:hint="eastAsia" w:ascii="仿宋_GB2312" w:hAnsi="仿宋_GB2312" w:eastAsia="仿宋_GB2312" w:cs="仿宋_GB2312"/>
          <w:bCs/>
          <w:color w:val="auto"/>
          <w:sz w:val="32"/>
          <w:szCs w:val="32"/>
        </w:rPr>
        <w:t>202</w:t>
      </w:r>
      <w:r>
        <w:rPr>
          <w:rFonts w:hint="eastAsia" w:ascii="仿宋_GB2312" w:hAnsi="仿宋_GB2312" w:eastAsia="仿宋_GB2312" w:cs="仿宋_GB2312"/>
          <w:bCs/>
          <w:color w:val="auto"/>
          <w:sz w:val="32"/>
          <w:szCs w:val="32"/>
          <w:lang w:val="en-US" w:eastAsia="zh-CN"/>
        </w:rPr>
        <w:t>1</w:t>
      </w:r>
      <w:r>
        <w:rPr>
          <w:rFonts w:hint="eastAsia" w:ascii="仿宋_GB2312" w:hAnsi="仿宋_GB2312" w:eastAsia="仿宋_GB2312" w:cs="仿宋_GB2312"/>
          <w:bCs/>
          <w:color w:val="auto"/>
          <w:sz w:val="32"/>
          <w:szCs w:val="32"/>
        </w:rPr>
        <w:t>年</w:t>
      </w:r>
    </w:p>
    <w:p>
      <w:pPr>
        <w:keepNext w:val="0"/>
        <w:keepLines w:val="0"/>
        <w:pageBreakBefore w:val="0"/>
        <w:widowControl w:val="0"/>
        <w:kinsoku/>
        <w:wordWrap/>
        <w:overflowPunct/>
        <w:topLinePunct w:val="0"/>
        <w:bidi w:val="0"/>
        <w:adjustRightInd w:val="0"/>
        <w:snapToGrid w:val="0"/>
        <w:spacing w:line="360" w:lineRule="auto"/>
        <w:ind w:left="0" w:leftChars="0" w:right="0" w:rightChars="0" w:firstLine="640" w:firstLineChars="200"/>
        <w:textAlignment w:val="auto"/>
        <w:rPr>
          <w:rFonts w:hint="eastAsia" w:ascii="仿宋_GB2312" w:hAnsi="仿宋_GB2312" w:eastAsia="仿宋_GB2312" w:cs="仿宋_GB2312"/>
          <w:bCs/>
          <w:color w:val="auto"/>
          <w:sz w:val="32"/>
          <w:szCs w:val="32"/>
        </w:rPr>
      </w:pPr>
      <w:r>
        <w:rPr>
          <w:rFonts w:hint="eastAsia" w:ascii="仿宋_GB2312" w:hAnsi="仿宋_GB2312" w:eastAsia="仿宋_GB2312" w:cs="仿宋_GB2312"/>
          <w:bCs/>
          <w:color w:val="auto"/>
          <w:sz w:val="32"/>
          <w:szCs w:val="32"/>
        </w:rPr>
        <w:t>拟支持项目数：不超过</w:t>
      </w:r>
      <w:r>
        <w:rPr>
          <w:rFonts w:hint="eastAsia" w:ascii="仿宋_GB2312" w:hAnsi="仿宋_GB2312" w:eastAsia="仿宋_GB2312" w:cs="仿宋_GB2312"/>
          <w:bCs/>
          <w:color w:val="auto"/>
          <w:sz w:val="32"/>
          <w:szCs w:val="32"/>
          <w:lang w:val="en-US" w:eastAsia="zh-CN"/>
        </w:rPr>
        <w:t>5项</w:t>
      </w:r>
    </w:p>
    <w:p>
      <w:pPr>
        <w:keepNext w:val="0"/>
        <w:keepLines w:val="0"/>
        <w:pageBreakBefore w:val="0"/>
        <w:widowControl w:val="0"/>
        <w:kinsoku/>
        <w:wordWrap/>
        <w:overflowPunct/>
        <w:topLinePunct w:val="0"/>
        <w:bidi w:val="0"/>
        <w:adjustRightInd w:val="0"/>
        <w:snapToGrid w:val="0"/>
        <w:spacing w:line="360" w:lineRule="auto"/>
        <w:ind w:left="0" w:leftChars="0" w:right="0" w:rightChars="0" w:firstLine="640" w:firstLineChars="200"/>
        <w:textAlignment w:val="auto"/>
        <w:rPr>
          <w:rFonts w:hint="eastAsia" w:ascii="仿宋_GB2312" w:hAnsi="仿宋_GB2312" w:eastAsia="仿宋_GB2312" w:cs="仿宋_GB2312"/>
          <w:bCs/>
          <w:color w:val="auto"/>
          <w:sz w:val="32"/>
          <w:szCs w:val="32"/>
        </w:rPr>
      </w:pPr>
      <w:r>
        <w:rPr>
          <w:rFonts w:hint="eastAsia" w:ascii="仿宋_GB2312" w:hAnsi="仿宋_GB2312" w:eastAsia="仿宋_GB2312" w:cs="仿宋_GB2312"/>
          <w:bCs/>
          <w:color w:val="auto"/>
          <w:sz w:val="32"/>
          <w:szCs w:val="32"/>
        </w:rPr>
        <w:t>有关说明：每个项目选择1个病种或1类疾病申报。优先支持牵头单位为三甲医院，曾牵头组织过并圆满完成了多中心临床研究，研究结果在知名期刊发表。项目组织机构完善，包括临床知名专家团队，国内外高水平方法学团队和高水平基础研究团队。</w:t>
      </w:r>
      <w:bookmarkEnd w:id="50"/>
      <w:bookmarkEnd w:id="51"/>
      <w:bookmarkEnd w:id="52"/>
    </w:p>
    <w:p>
      <w:pPr>
        <w:pStyle w:val="3"/>
        <w:keepNext w:val="0"/>
        <w:keepLines w:val="0"/>
        <w:pageBreakBefore w:val="0"/>
        <w:widowControl w:val="0"/>
        <w:kinsoku/>
        <w:wordWrap/>
        <w:overflowPunct/>
        <w:topLinePunct w:val="0"/>
        <w:bidi w:val="0"/>
        <w:adjustRightInd w:val="0"/>
        <w:snapToGrid w:val="0"/>
        <w:spacing w:before="0" w:after="0" w:line="360" w:lineRule="auto"/>
        <w:ind w:left="0" w:leftChars="0" w:right="0" w:rightChars="0" w:firstLine="643" w:firstLineChars="200"/>
        <w:textAlignment w:val="auto"/>
        <w:rPr>
          <w:rFonts w:hint="eastAsia" w:ascii="仿宋_GB2312" w:hAnsi="仿宋_GB2312" w:eastAsia="仿宋_GB2312" w:cs="仿宋_GB2312"/>
          <w:color w:val="auto"/>
          <w:sz w:val="32"/>
          <w:szCs w:val="32"/>
          <w:lang w:val="en-US" w:eastAsia="zh-CN"/>
        </w:rPr>
      </w:pPr>
      <w:bookmarkStart w:id="53" w:name="_Toc7583"/>
      <w:bookmarkStart w:id="54" w:name="_Toc18677"/>
      <w:bookmarkStart w:id="55" w:name="_Toc466641294"/>
      <w:bookmarkStart w:id="56" w:name="_Toc459120969"/>
      <w:bookmarkStart w:id="57" w:name="_Toc450029679"/>
      <w:r>
        <w:rPr>
          <w:rFonts w:hint="eastAsia" w:ascii="仿宋_GB2312" w:hAnsi="仿宋_GB2312" w:eastAsia="仿宋_GB2312" w:cs="仿宋_GB2312"/>
          <w:color w:val="auto"/>
          <w:sz w:val="32"/>
          <w:szCs w:val="32"/>
          <w:lang w:val="en-US" w:eastAsia="zh-CN"/>
        </w:rPr>
        <w:t>2.2难治性疾病中医药治疗方案优化及循证评价研究</w:t>
      </w:r>
    </w:p>
    <w:p>
      <w:pPr>
        <w:pStyle w:val="3"/>
        <w:keepNext w:val="0"/>
        <w:keepLines w:val="0"/>
        <w:pageBreakBefore w:val="0"/>
        <w:widowControl w:val="0"/>
        <w:kinsoku/>
        <w:wordWrap/>
        <w:overflowPunct/>
        <w:topLinePunct w:val="0"/>
        <w:bidi w:val="0"/>
        <w:adjustRightInd w:val="0"/>
        <w:snapToGrid w:val="0"/>
        <w:spacing w:before="0" w:after="0" w:line="360" w:lineRule="auto"/>
        <w:ind w:left="0" w:leftChars="0" w:right="0" w:rightChars="0" w:firstLine="643"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2.2</w:t>
      </w: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rPr>
        <w:t>难治性疾病中医药治疗方案优化及评价研究</w:t>
      </w:r>
      <w:bookmarkEnd w:id="53"/>
      <w:bookmarkEnd w:id="54"/>
    </w:p>
    <w:p>
      <w:pPr>
        <w:keepNext w:val="0"/>
        <w:keepLines w:val="0"/>
        <w:pageBreakBefore w:val="0"/>
        <w:widowControl w:val="0"/>
        <w:kinsoku/>
        <w:wordWrap/>
        <w:overflowPunct/>
        <w:topLinePunct w:val="0"/>
        <w:bidi w:val="0"/>
        <w:adjustRightInd w:val="0"/>
        <w:snapToGrid w:val="0"/>
        <w:spacing w:line="360" w:lineRule="auto"/>
        <w:ind w:left="0" w:leftChars="0" w:right="0" w:rightChars="0" w:firstLine="643"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rPr>
        <w:t>研究内容</w:t>
      </w:r>
      <w:r>
        <w:rPr>
          <w:rFonts w:hint="eastAsia" w:ascii="仿宋_GB2312" w:hAnsi="仿宋_GB2312" w:eastAsia="仿宋_GB2312" w:cs="仿宋_GB2312"/>
          <w:color w:val="auto"/>
          <w:sz w:val="32"/>
          <w:szCs w:val="32"/>
        </w:rPr>
        <w:t>：针对类风湿性关节炎、银屑病、</w:t>
      </w:r>
      <w:r>
        <w:rPr>
          <w:rFonts w:hint="eastAsia" w:ascii="仿宋_GB2312" w:hAnsi="仿宋_GB2312" w:eastAsia="仿宋_GB2312" w:cs="仿宋_GB2312"/>
          <w:color w:val="auto"/>
          <w:sz w:val="32"/>
          <w:szCs w:val="32"/>
          <w:lang w:eastAsia="zh-CN"/>
        </w:rPr>
        <w:t>自身免疫性疾病、和</w:t>
      </w:r>
      <w:r>
        <w:rPr>
          <w:rFonts w:hint="eastAsia" w:ascii="仿宋_GB2312" w:hAnsi="仿宋_GB2312" w:eastAsia="仿宋_GB2312" w:cs="仿宋_GB2312"/>
          <w:color w:val="auto"/>
          <w:sz w:val="32"/>
          <w:szCs w:val="32"/>
        </w:rPr>
        <w:t>慢性肾脏病等难治性疾病，</w:t>
      </w:r>
      <w:r>
        <w:rPr>
          <w:rFonts w:hint="eastAsia" w:ascii="仿宋_GB2312" w:hAnsi="仿宋_GB2312" w:eastAsia="仿宋_GB2312" w:cs="仿宋_GB2312"/>
          <w:color w:val="auto"/>
          <w:kern w:val="0"/>
          <w:sz w:val="32"/>
          <w:szCs w:val="32"/>
        </w:rPr>
        <w:t>系统汇聚相关病种古今文献和临床病例，为临床诊治提供支持；</w:t>
      </w:r>
      <w:r>
        <w:rPr>
          <w:rFonts w:hint="eastAsia" w:ascii="仿宋_GB2312" w:hAnsi="仿宋_GB2312" w:eastAsia="仿宋_GB2312" w:cs="仿宋_GB2312"/>
          <w:color w:val="auto"/>
          <w:sz w:val="32"/>
          <w:szCs w:val="32"/>
        </w:rPr>
        <w:t>明确中医药优势环节，筛选具有疗效优势的中医或中西医结合治疗方案；遵循国际通行的研究规范，采用公认的评价指标，开展高质量的临床评价研究</w:t>
      </w:r>
      <w:r>
        <w:rPr>
          <w:rFonts w:hint="eastAsia" w:ascii="仿宋_GB2312" w:hAnsi="仿宋_GB2312" w:eastAsia="仿宋_GB2312" w:cs="仿宋_GB2312"/>
          <w:color w:val="auto"/>
          <w:kern w:val="0"/>
          <w:sz w:val="32"/>
          <w:szCs w:val="32"/>
        </w:rPr>
        <w:t>，形成高级别临床证据；引进现代技术手段，开展相关基础研究，阐释中医药的疗效机制</w:t>
      </w:r>
      <w:r>
        <w:rPr>
          <w:rFonts w:hint="eastAsia" w:ascii="仿宋_GB2312" w:hAnsi="仿宋_GB2312" w:eastAsia="仿宋_GB2312" w:cs="仿宋_GB2312"/>
          <w:color w:val="auto"/>
          <w:sz w:val="32"/>
          <w:szCs w:val="32"/>
        </w:rPr>
        <w:t>。</w:t>
      </w:r>
    </w:p>
    <w:p>
      <w:pPr>
        <w:keepNext w:val="0"/>
        <w:keepLines w:val="0"/>
        <w:pageBreakBefore w:val="0"/>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kinsoku/>
        <w:wordWrap/>
        <w:overflowPunct/>
        <w:topLinePunct w:val="0"/>
        <w:autoSpaceDE w:val="0"/>
        <w:autoSpaceDN w:val="0"/>
        <w:bidi w:val="0"/>
        <w:adjustRightInd w:val="0"/>
        <w:snapToGrid w:val="0"/>
        <w:spacing w:line="360" w:lineRule="auto"/>
        <w:ind w:left="0" w:leftChars="0" w:right="0" w:rightChars="0" w:firstLine="643" w:firstLineChars="200"/>
        <w:jc w:val="left"/>
        <w:textAlignment w:val="auto"/>
        <w:rPr>
          <w:rFonts w:hint="eastAsia" w:ascii="仿宋_GB2312" w:hAnsi="仿宋_GB2312" w:eastAsia="仿宋_GB2312" w:cs="仿宋_GB2312"/>
          <w:color w:val="auto"/>
          <w:kern w:val="0"/>
          <w:sz w:val="32"/>
          <w:szCs w:val="32"/>
        </w:rPr>
      </w:pPr>
      <w:r>
        <w:rPr>
          <w:rFonts w:hint="eastAsia" w:ascii="仿宋_GB2312" w:hAnsi="仿宋_GB2312" w:eastAsia="仿宋_GB2312" w:cs="仿宋_GB2312"/>
          <w:b/>
          <w:bCs/>
          <w:color w:val="auto"/>
          <w:sz w:val="32"/>
          <w:szCs w:val="32"/>
        </w:rPr>
        <w:t>考核指标</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kern w:val="0"/>
          <w:sz w:val="32"/>
          <w:szCs w:val="32"/>
        </w:rPr>
        <w:t>构建开放共享的诊疗决策支持平台；提高临床疗效，取得高级别的临床证据，改写临床诊疗指南；基本阐明该病种中医药治疗方案的作用机制。</w:t>
      </w:r>
    </w:p>
    <w:p>
      <w:pPr>
        <w:keepNext w:val="0"/>
        <w:keepLines w:val="0"/>
        <w:pageBreakBefore w:val="0"/>
        <w:widowControl w:val="0"/>
        <w:kinsoku/>
        <w:wordWrap/>
        <w:overflowPunct/>
        <w:topLinePunct w:val="0"/>
        <w:bidi w:val="0"/>
        <w:adjustRightInd w:val="0"/>
        <w:snapToGrid w:val="0"/>
        <w:spacing w:line="360" w:lineRule="auto"/>
        <w:ind w:left="0" w:leftChars="0" w:right="0" w:rightChars="0" w:firstLine="640" w:firstLineChars="200"/>
        <w:textAlignment w:val="auto"/>
        <w:rPr>
          <w:rFonts w:hint="eastAsia" w:ascii="仿宋_GB2312" w:hAnsi="仿宋_GB2312" w:eastAsia="仿宋_GB2312" w:cs="仿宋_GB2312"/>
          <w:bCs/>
          <w:color w:val="auto"/>
          <w:sz w:val="32"/>
          <w:szCs w:val="32"/>
        </w:rPr>
      </w:pPr>
      <w:r>
        <w:rPr>
          <w:rFonts w:hint="eastAsia" w:ascii="仿宋_GB2312" w:hAnsi="仿宋_GB2312" w:eastAsia="仿宋_GB2312" w:cs="仿宋_GB2312"/>
          <w:bCs/>
          <w:color w:val="auto"/>
          <w:sz w:val="32"/>
          <w:szCs w:val="32"/>
        </w:rPr>
        <w:t>支持年限：</w:t>
      </w:r>
      <w:r>
        <w:rPr>
          <w:rFonts w:hint="eastAsia" w:ascii="仿宋_GB2312" w:hAnsi="仿宋_GB2312" w:eastAsia="仿宋_GB2312" w:cs="仿宋_GB2312"/>
          <w:color w:val="auto"/>
          <w:sz w:val="32"/>
          <w:szCs w:val="32"/>
        </w:rPr>
        <w:t>201</w:t>
      </w:r>
      <w:r>
        <w:rPr>
          <w:rFonts w:hint="eastAsia" w:ascii="仿宋_GB2312" w:hAnsi="仿宋_GB2312" w:eastAsia="仿宋_GB2312" w:cs="仿宋_GB2312"/>
          <w:color w:val="auto"/>
          <w:sz w:val="32"/>
          <w:szCs w:val="32"/>
          <w:lang w:val="en-US" w:eastAsia="zh-CN"/>
        </w:rPr>
        <w:t>8—</w:t>
      </w:r>
      <w:r>
        <w:rPr>
          <w:rFonts w:hint="eastAsia" w:ascii="仿宋_GB2312" w:hAnsi="仿宋_GB2312" w:eastAsia="仿宋_GB2312" w:cs="仿宋_GB2312"/>
          <w:color w:val="auto"/>
          <w:sz w:val="32"/>
          <w:szCs w:val="32"/>
        </w:rPr>
        <w:t>202</w:t>
      </w: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rPr>
        <w:t>年</w:t>
      </w:r>
    </w:p>
    <w:p>
      <w:pPr>
        <w:keepNext w:val="0"/>
        <w:keepLines w:val="0"/>
        <w:pageBreakBefore w:val="0"/>
        <w:widowControl w:val="0"/>
        <w:kinsoku/>
        <w:wordWrap/>
        <w:overflowPunct/>
        <w:topLinePunct w:val="0"/>
        <w:bidi w:val="0"/>
        <w:adjustRightInd w:val="0"/>
        <w:snapToGrid w:val="0"/>
        <w:spacing w:line="360" w:lineRule="auto"/>
        <w:ind w:left="0" w:leftChars="0" w:right="0" w:rightChars="0" w:firstLine="640" w:firstLineChars="200"/>
        <w:textAlignment w:val="auto"/>
        <w:rPr>
          <w:rFonts w:hint="eastAsia" w:ascii="仿宋_GB2312" w:hAnsi="仿宋_GB2312" w:eastAsia="仿宋_GB2312" w:cs="仿宋_GB2312"/>
          <w:bCs/>
          <w:color w:val="auto"/>
          <w:sz w:val="32"/>
          <w:szCs w:val="32"/>
        </w:rPr>
      </w:pPr>
      <w:r>
        <w:rPr>
          <w:rFonts w:hint="eastAsia" w:ascii="仿宋_GB2312" w:hAnsi="仿宋_GB2312" w:eastAsia="仿宋_GB2312" w:cs="仿宋_GB2312"/>
          <w:bCs/>
          <w:color w:val="auto"/>
          <w:sz w:val="32"/>
          <w:szCs w:val="32"/>
        </w:rPr>
        <w:t>拟支持项目数：</w:t>
      </w:r>
      <w:r>
        <w:rPr>
          <w:rFonts w:hint="eastAsia" w:ascii="仿宋_GB2312" w:hAnsi="仿宋_GB2312" w:eastAsia="仿宋_GB2312" w:cs="仿宋_GB2312"/>
          <w:bCs/>
          <w:color w:val="auto"/>
          <w:sz w:val="32"/>
          <w:szCs w:val="32"/>
          <w:lang w:val="en-US" w:eastAsia="zh-CN"/>
        </w:rPr>
        <w:t>不超过5项</w:t>
      </w:r>
    </w:p>
    <w:p>
      <w:pPr>
        <w:keepNext w:val="0"/>
        <w:keepLines w:val="0"/>
        <w:pageBreakBefore w:val="0"/>
        <w:widowControl w:val="0"/>
        <w:kinsoku/>
        <w:wordWrap/>
        <w:overflowPunct/>
        <w:topLinePunct w:val="0"/>
        <w:bidi w:val="0"/>
        <w:adjustRightInd w:val="0"/>
        <w:snapToGrid w:val="0"/>
        <w:spacing w:line="360" w:lineRule="auto"/>
        <w:ind w:left="0" w:leftChars="0" w:right="0" w:rightChars="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Cs/>
          <w:color w:val="auto"/>
          <w:sz w:val="32"/>
          <w:szCs w:val="32"/>
        </w:rPr>
        <w:t>有关说明：每个项目选择1个病种申报。</w:t>
      </w:r>
      <w:r>
        <w:rPr>
          <w:rFonts w:hint="eastAsia" w:ascii="仿宋_GB2312" w:hAnsi="仿宋_GB2312" w:eastAsia="仿宋_GB2312" w:cs="仿宋_GB2312"/>
          <w:color w:val="auto"/>
          <w:kern w:val="0"/>
          <w:sz w:val="32"/>
          <w:szCs w:val="32"/>
        </w:rPr>
        <w:t>每个项目下设课题不超过5个，每个项目所含单位数不超过20家。</w:t>
      </w:r>
      <w:r>
        <w:rPr>
          <w:rFonts w:hint="eastAsia" w:ascii="仿宋_GB2312" w:hAnsi="仿宋_GB2312" w:eastAsia="仿宋_GB2312" w:cs="仿宋_GB2312"/>
          <w:color w:val="auto"/>
          <w:sz w:val="32"/>
          <w:szCs w:val="32"/>
        </w:rPr>
        <w:t>优先支持具备较好研究基础、曾牵头组织过多中心临床研究的申报单位。</w:t>
      </w:r>
      <w:bookmarkEnd w:id="55"/>
      <w:bookmarkEnd w:id="56"/>
      <w:bookmarkEnd w:id="57"/>
    </w:p>
    <w:p>
      <w:pPr>
        <w:keepNext w:val="0"/>
        <w:keepLines w:val="0"/>
        <w:pageBreakBefore w:val="0"/>
        <w:widowControl w:val="0"/>
        <w:kinsoku/>
        <w:wordWrap/>
        <w:overflowPunct/>
        <w:topLinePunct w:val="0"/>
        <w:bidi w:val="0"/>
        <w:adjustRightInd w:val="0"/>
        <w:snapToGrid w:val="0"/>
        <w:spacing w:line="360" w:lineRule="auto"/>
        <w:ind w:left="0" w:leftChars="0" w:right="0" w:rightChars="0" w:firstLine="643" w:firstLineChars="200"/>
        <w:textAlignment w:val="auto"/>
        <w:rPr>
          <w:rFonts w:hint="eastAsia" w:ascii="仿宋_GB2312" w:hAnsi="仿宋_GB2312" w:eastAsia="仿宋_GB2312" w:cs="仿宋_GB2312"/>
          <w:b/>
          <w:bCs/>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2.3中医药潜在优势病种的新治法、新方案的探索性研究</w:t>
      </w:r>
    </w:p>
    <w:p>
      <w:pPr>
        <w:keepNext w:val="0"/>
        <w:keepLines w:val="0"/>
        <w:pageBreakBefore w:val="0"/>
        <w:widowControl w:val="0"/>
        <w:kinsoku/>
        <w:wordWrap/>
        <w:overflowPunct/>
        <w:topLinePunct w:val="0"/>
        <w:bidi w:val="0"/>
        <w:adjustRightInd w:val="0"/>
        <w:snapToGrid w:val="0"/>
        <w:spacing w:line="360" w:lineRule="auto"/>
        <w:ind w:left="0" w:leftChars="0" w:right="0" w:rightChars="0" w:firstLine="643" w:firstLineChars="200"/>
        <w:textAlignment w:val="auto"/>
        <w:rPr>
          <w:rFonts w:hint="eastAsia" w:ascii="仿宋_GB2312" w:hAnsi="仿宋_GB2312" w:eastAsia="仿宋_GB2312" w:cs="仿宋_GB2312"/>
          <w:b/>
          <w:bCs/>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2.3.1针对中医药潜在优势病种的中医药新治法、新方药的探索性研究</w:t>
      </w:r>
    </w:p>
    <w:p>
      <w:pPr>
        <w:keepNext w:val="0"/>
        <w:keepLines w:val="0"/>
        <w:pageBreakBefore w:val="0"/>
        <w:widowControl w:val="0"/>
        <w:kinsoku/>
        <w:wordWrap/>
        <w:overflowPunct/>
        <w:topLinePunct w:val="0"/>
        <w:bidi w:val="0"/>
        <w:adjustRightInd w:val="0"/>
        <w:snapToGrid w:val="0"/>
        <w:spacing w:line="360" w:lineRule="auto"/>
        <w:ind w:left="0" w:leftChars="0" w:right="0" w:rightChars="0" w:firstLine="643"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b/>
          <w:bCs/>
          <w:color w:val="auto"/>
          <w:sz w:val="32"/>
          <w:szCs w:val="32"/>
          <w:lang w:val="en-US" w:eastAsia="zh-CN"/>
        </w:rPr>
        <w:t>研究内容</w:t>
      </w:r>
      <w:r>
        <w:rPr>
          <w:rFonts w:hint="eastAsia" w:ascii="仿宋_GB2312" w:hAnsi="仿宋_GB2312" w:eastAsia="仿宋_GB2312" w:cs="仿宋_GB2312"/>
          <w:color w:val="auto"/>
          <w:sz w:val="32"/>
          <w:szCs w:val="32"/>
          <w:lang w:val="en-US" w:eastAsia="zh-CN"/>
        </w:rPr>
        <w:t>：针对</w:t>
      </w:r>
      <w:r>
        <w:rPr>
          <w:rFonts w:hint="eastAsia" w:ascii="仿宋_GB2312" w:hAnsi="仿宋_GB2312" w:eastAsia="仿宋_GB2312" w:cs="仿宋_GB2312"/>
          <w:b w:val="0"/>
          <w:bCs w:val="0"/>
          <w:color w:val="auto"/>
          <w:sz w:val="32"/>
          <w:szCs w:val="32"/>
          <w:highlight w:val="none"/>
          <w:lang w:val="en-US" w:eastAsia="zh-CN"/>
        </w:rPr>
        <w:t>病毒性疾病、</w:t>
      </w:r>
      <w:r>
        <w:rPr>
          <w:rFonts w:hint="eastAsia" w:ascii="仿宋_GB2312" w:hAnsi="仿宋_GB2312" w:eastAsia="仿宋_GB2312" w:cs="仿宋_GB2312"/>
          <w:color w:val="auto"/>
          <w:sz w:val="32"/>
          <w:szCs w:val="32"/>
          <w:lang w:val="en-US" w:eastAsia="zh-CN"/>
        </w:rPr>
        <w:t>抑郁症、偏头痛、失眠、耐药菌、脓毒症等中医药治疗有临床优势的病种或环节，选择确有疗效的经典名方或已经上市的中药大品种，运用现代科学技术，研究其作用机理，提出优于现有疗法的中医药新治法、新方药。</w:t>
      </w:r>
    </w:p>
    <w:p>
      <w:pPr>
        <w:keepNext w:val="0"/>
        <w:keepLines w:val="0"/>
        <w:pageBreakBefore w:val="0"/>
        <w:widowControl w:val="0"/>
        <w:kinsoku/>
        <w:wordWrap/>
        <w:overflowPunct/>
        <w:topLinePunct w:val="0"/>
        <w:bidi w:val="0"/>
        <w:adjustRightInd w:val="0"/>
        <w:snapToGrid w:val="0"/>
        <w:spacing w:line="360" w:lineRule="auto"/>
        <w:ind w:left="0" w:leftChars="0" w:right="0" w:rightChars="0" w:firstLine="643"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b/>
          <w:bCs/>
          <w:color w:val="auto"/>
          <w:sz w:val="32"/>
          <w:szCs w:val="32"/>
          <w:lang w:val="en-US" w:eastAsia="zh-CN"/>
        </w:rPr>
        <w:t>考核指标</w:t>
      </w:r>
      <w:r>
        <w:rPr>
          <w:rFonts w:hint="eastAsia" w:ascii="仿宋_GB2312" w:hAnsi="仿宋_GB2312" w:eastAsia="仿宋_GB2312" w:cs="仿宋_GB2312"/>
          <w:color w:val="auto"/>
          <w:sz w:val="32"/>
          <w:szCs w:val="32"/>
          <w:lang w:val="en-US" w:eastAsia="zh-CN"/>
        </w:rPr>
        <w:t>：在中医药治疗有临床优势的病种或环节，完成2</w:t>
      </w:r>
      <w:r>
        <w:rPr>
          <w:rFonts w:hint="eastAsia" w:ascii="仿宋_GB2312" w:hAnsi="仿宋_GB2312" w:eastAsia="仿宋_GB2312" w:cs="仿宋_GB2312"/>
          <w:bCs/>
          <w:color w:val="auto"/>
          <w:sz w:val="32"/>
          <w:szCs w:val="32"/>
          <w:lang w:eastAsia="zh-CN"/>
        </w:rPr>
        <w:t>～</w:t>
      </w:r>
      <w:r>
        <w:rPr>
          <w:rFonts w:hint="eastAsia" w:ascii="仿宋_GB2312" w:hAnsi="仿宋_GB2312" w:eastAsia="仿宋_GB2312" w:cs="仿宋_GB2312"/>
          <w:color w:val="auto"/>
          <w:sz w:val="32"/>
          <w:szCs w:val="32"/>
          <w:lang w:val="en-US" w:eastAsia="zh-CN"/>
        </w:rPr>
        <w:t>3 个新治法、新方药；提出新治法、新方药的有效性、安全性、独特性和科学内涵；申报专利5项以上。</w:t>
      </w:r>
    </w:p>
    <w:p>
      <w:pPr>
        <w:keepNext w:val="0"/>
        <w:keepLines w:val="0"/>
        <w:pageBreakBefore w:val="0"/>
        <w:widowControl w:val="0"/>
        <w:kinsoku/>
        <w:wordWrap/>
        <w:overflowPunct/>
        <w:topLinePunct w:val="0"/>
        <w:bidi w:val="0"/>
        <w:adjustRightInd w:val="0"/>
        <w:snapToGrid w:val="0"/>
        <w:spacing w:line="360" w:lineRule="auto"/>
        <w:ind w:left="0" w:leftChars="0" w:right="0" w:rightChars="0"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支持年限：</w:t>
      </w:r>
      <w:r>
        <w:rPr>
          <w:rFonts w:hint="eastAsia" w:ascii="仿宋_GB2312" w:hAnsi="仿宋_GB2312" w:eastAsia="仿宋_GB2312" w:cs="仿宋_GB2312"/>
          <w:color w:val="auto"/>
          <w:sz w:val="32"/>
          <w:szCs w:val="32"/>
        </w:rPr>
        <w:t>201</w:t>
      </w:r>
      <w:r>
        <w:rPr>
          <w:rFonts w:hint="eastAsia" w:ascii="仿宋_GB2312" w:hAnsi="仿宋_GB2312" w:eastAsia="仿宋_GB2312" w:cs="仿宋_GB2312"/>
          <w:color w:val="auto"/>
          <w:sz w:val="32"/>
          <w:szCs w:val="32"/>
          <w:lang w:val="en-US" w:eastAsia="zh-CN"/>
        </w:rPr>
        <w:t>8—</w:t>
      </w:r>
      <w:r>
        <w:rPr>
          <w:rFonts w:hint="eastAsia" w:ascii="仿宋_GB2312" w:hAnsi="仿宋_GB2312" w:eastAsia="仿宋_GB2312" w:cs="仿宋_GB2312"/>
          <w:color w:val="auto"/>
          <w:sz w:val="32"/>
          <w:szCs w:val="32"/>
        </w:rPr>
        <w:t>202</w:t>
      </w: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rPr>
        <w:t>年</w:t>
      </w:r>
      <w:r>
        <w:rPr>
          <w:rFonts w:hint="eastAsia" w:ascii="仿宋_GB2312" w:hAnsi="仿宋_GB2312" w:eastAsia="仿宋_GB2312" w:cs="仿宋_GB2312"/>
          <w:color w:val="auto"/>
          <w:sz w:val="32"/>
          <w:szCs w:val="32"/>
          <w:lang w:val="en-US" w:eastAsia="zh-CN"/>
        </w:rPr>
        <w:t xml:space="preserve"> </w:t>
      </w:r>
    </w:p>
    <w:p>
      <w:pPr>
        <w:keepNext w:val="0"/>
        <w:keepLines w:val="0"/>
        <w:pageBreakBefore w:val="0"/>
        <w:widowControl w:val="0"/>
        <w:kinsoku/>
        <w:wordWrap/>
        <w:overflowPunct/>
        <w:topLinePunct w:val="0"/>
        <w:bidi w:val="0"/>
        <w:adjustRightInd w:val="0"/>
        <w:snapToGrid w:val="0"/>
        <w:spacing w:line="360" w:lineRule="auto"/>
        <w:ind w:left="0" w:leftChars="0" w:right="0" w:rightChars="0"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拟支持项目数：不超过6项</w:t>
      </w:r>
    </w:p>
    <w:p>
      <w:pPr>
        <w:keepNext w:val="0"/>
        <w:keepLines w:val="0"/>
        <w:pageBreakBefore w:val="0"/>
        <w:widowControl w:val="0"/>
        <w:kinsoku/>
        <w:wordWrap/>
        <w:overflowPunct/>
        <w:topLinePunct w:val="0"/>
        <w:bidi w:val="0"/>
        <w:adjustRightInd w:val="0"/>
        <w:snapToGrid w:val="0"/>
        <w:spacing w:line="360" w:lineRule="auto"/>
        <w:ind w:left="0" w:leftChars="0" w:right="0" w:rightChars="0"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相关说明：每个项目针对1个病种，所含单位数不超过3家。优先支持有相关基础的研究团队。</w:t>
      </w:r>
    </w:p>
    <w:p>
      <w:pPr>
        <w:pStyle w:val="3"/>
        <w:keepNext w:val="0"/>
        <w:keepLines w:val="0"/>
        <w:pageBreakBefore w:val="0"/>
        <w:widowControl w:val="0"/>
        <w:kinsoku/>
        <w:wordWrap/>
        <w:overflowPunct/>
        <w:topLinePunct w:val="0"/>
        <w:bidi w:val="0"/>
        <w:adjustRightInd w:val="0"/>
        <w:snapToGrid w:val="0"/>
        <w:spacing w:before="0" w:after="0" w:line="360" w:lineRule="auto"/>
        <w:ind w:left="0" w:leftChars="0" w:right="0" w:rightChars="0" w:firstLine="643" w:firstLineChars="200"/>
        <w:textAlignment w:val="auto"/>
        <w:rPr>
          <w:rFonts w:hint="eastAsia" w:ascii="仿宋_GB2312" w:hAnsi="仿宋_GB2312" w:eastAsia="仿宋_GB2312" w:cs="仿宋_GB2312"/>
          <w:color w:val="auto"/>
          <w:sz w:val="32"/>
          <w:szCs w:val="32"/>
        </w:rPr>
      </w:pPr>
      <w:bookmarkStart w:id="58" w:name="_Toc466641299"/>
      <w:bookmarkStart w:id="59" w:name="_Toc17703"/>
      <w:r>
        <w:rPr>
          <w:rFonts w:hint="eastAsia" w:ascii="仿宋_GB2312" w:hAnsi="仿宋_GB2312" w:eastAsia="仿宋_GB2312" w:cs="仿宋_GB2312"/>
          <w:color w:val="auto"/>
          <w:sz w:val="32"/>
          <w:szCs w:val="32"/>
        </w:rPr>
        <w:t>2.5中医康复研究</w:t>
      </w:r>
      <w:bookmarkEnd w:id="58"/>
      <w:bookmarkEnd w:id="59"/>
    </w:p>
    <w:p>
      <w:pPr>
        <w:pStyle w:val="3"/>
        <w:keepNext w:val="0"/>
        <w:keepLines w:val="0"/>
        <w:pageBreakBefore w:val="0"/>
        <w:widowControl w:val="0"/>
        <w:kinsoku/>
        <w:wordWrap/>
        <w:overflowPunct/>
        <w:topLinePunct w:val="0"/>
        <w:bidi w:val="0"/>
        <w:adjustRightInd w:val="0"/>
        <w:snapToGrid w:val="0"/>
        <w:spacing w:before="0" w:after="0" w:line="360" w:lineRule="auto"/>
        <w:ind w:left="0" w:leftChars="0" w:right="0" w:rightChars="0" w:firstLine="643" w:firstLineChars="200"/>
        <w:textAlignment w:val="auto"/>
        <w:rPr>
          <w:rFonts w:hint="eastAsia" w:ascii="仿宋_GB2312" w:hAnsi="仿宋_GB2312" w:eastAsia="仿宋_GB2312" w:cs="仿宋_GB2312"/>
          <w:bCs w:val="0"/>
          <w:color w:val="auto"/>
          <w:sz w:val="32"/>
          <w:szCs w:val="32"/>
        </w:rPr>
      </w:pPr>
      <w:bookmarkStart w:id="60" w:name="_Toc32049"/>
      <w:r>
        <w:rPr>
          <w:rFonts w:hint="eastAsia" w:ascii="仿宋_GB2312" w:hAnsi="仿宋_GB2312" w:eastAsia="仿宋_GB2312" w:cs="仿宋_GB2312"/>
          <w:color w:val="auto"/>
          <w:sz w:val="32"/>
          <w:szCs w:val="32"/>
        </w:rPr>
        <w:t>2.5.1常见疾病的中医康复研究</w:t>
      </w:r>
      <w:bookmarkEnd w:id="60"/>
    </w:p>
    <w:p>
      <w:pPr>
        <w:keepNext w:val="0"/>
        <w:keepLines w:val="0"/>
        <w:pageBreakBefore w:val="0"/>
        <w:widowControl w:val="0"/>
        <w:kinsoku/>
        <w:wordWrap/>
        <w:overflowPunct/>
        <w:topLinePunct w:val="0"/>
        <w:bidi w:val="0"/>
        <w:adjustRightInd w:val="0"/>
        <w:snapToGrid w:val="0"/>
        <w:spacing w:line="360" w:lineRule="auto"/>
        <w:ind w:left="0" w:leftChars="0" w:right="0" w:rightChars="0" w:firstLine="643" w:firstLineChars="200"/>
        <w:textAlignment w:val="auto"/>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bCs/>
          <w:color w:val="auto"/>
          <w:sz w:val="32"/>
          <w:szCs w:val="32"/>
          <w:highlight w:val="none"/>
          <w:lang w:val="en-US" w:eastAsia="zh-CN"/>
        </w:rPr>
        <w:t>研究内容</w:t>
      </w:r>
      <w:r>
        <w:rPr>
          <w:rFonts w:hint="eastAsia" w:ascii="仿宋_GB2312" w:hAnsi="仿宋_GB2312" w:eastAsia="仿宋_GB2312" w:cs="仿宋_GB2312"/>
          <w:b w:val="0"/>
          <w:bCs w:val="0"/>
          <w:color w:val="auto"/>
          <w:sz w:val="32"/>
          <w:szCs w:val="32"/>
          <w:highlight w:val="none"/>
          <w:lang w:val="en-US" w:eastAsia="zh-CN"/>
        </w:rPr>
        <w:t>：围绕神经系统、</w:t>
      </w:r>
      <w:r>
        <w:rPr>
          <w:rFonts w:hint="eastAsia" w:ascii="仿宋_GB2312" w:hAnsi="仿宋_GB2312" w:eastAsia="仿宋_GB2312" w:cs="仿宋_GB2312"/>
          <w:bCs/>
          <w:color w:val="auto"/>
          <w:sz w:val="32"/>
          <w:szCs w:val="32"/>
        </w:rPr>
        <w:t>运动肌肉</w:t>
      </w:r>
      <w:r>
        <w:rPr>
          <w:rFonts w:hint="eastAsia" w:ascii="仿宋_GB2312" w:hAnsi="仿宋_GB2312" w:eastAsia="仿宋_GB2312" w:cs="仿宋_GB2312"/>
          <w:bCs/>
          <w:color w:val="auto"/>
          <w:sz w:val="32"/>
          <w:szCs w:val="32"/>
          <w:lang w:eastAsia="zh-CN"/>
        </w:rPr>
        <w:t>系统</w:t>
      </w:r>
      <w:r>
        <w:rPr>
          <w:rFonts w:hint="eastAsia" w:ascii="仿宋_GB2312" w:hAnsi="仿宋_GB2312" w:eastAsia="仿宋_GB2312" w:cs="仿宋_GB2312"/>
          <w:bCs/>
          <w:color w:val="auto"/>
          <w:sz w:val="32"/>
          <w:szCs w:val="32"/>
        </w:rPr>
        <w:t>疾病等</w:t>
      </w:r>
      <w:r>
        <w:rPr>
          <w:rFonts w:hint="eastAsia" w:ascii="仿宋_GB2312" w:hAnsi="仿宋_GB2312" w:eastAsia="仿宋_GB2312" w:cs="仿宋_GB2312"/>
          <w:b w:val="0"/>
          <w:bCs w:val="0"/>
          <w:color w:val="auto"/>
          <w:sz w:val="32"/>
          <w:szCs w:val="32"/>
          <w:highlight w:val="none"/>
          <w:lang w:val="en-US" w:eastAsia="zh-CN"/>
        </w:rPr>
        <w:t>常见多发病所导致的功能与活动能力障碍，开展中医康复理论和临床研究，研发具有推广性的中医康复共性技术和诊疗方案，优化中医康复结局评价并形成具有中医特色的康复评定方法、中医康复分级诊疗服务体系。</w:t>
      </w:r>
    </w:p>
    <w:p>
      <w:pPr>
        <w:keepNext w:val="0"/>
        <w:keepLines w:val="0"/>
        <w:pageBreakBefore w:val="0"/>
        <w:widowControl w:val="0"/>
        <w:kinsoku/>
        <w:wordWrap/>
        <w:overflowPunct/>
        <w:topLinePunct w:val="0"/>
        <w:bidi w:val="0"/>
        <w:adjustRightInd w:val="0"/>
        <w:snapToGrid w:val="0"/>
        <w:spacing w:line="360" w:lineRule="auto"/>
        <w:ind w:left="0" w:leftChars="0" w:right="0" w:rightChars="0" w:firstLine="643"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rPr>
        <w:t>考核指标</w:t>
      </w:r>
      <w:r>
        <w:rPr>
          <w:rFonts w:hint="eastAsia" w:ascii="仿宋_GB2312" w:hAnsi="仿宋_GB2312" w:eastAsia="仿宋_GB2312" w:cs="仿宋_GB2312"/>
          <w:bCs/>
          <w:color w:val="auto"/>
          <w:sz w:val="32"/>
          <w:szCs w:val="32"/>
        </w:rPr>
        <w:t>：完</w:t>
      </w:r>
      <w:r>
        <w:rPr>
          <w:rFonts w:hint="eastAsia" w:ascii="仿宋_GB2312" w:hAnsi="仿宋_GB2312" w:eastAsia="仿宋_GB2312" w:cs="仿宋_GB2312"/>
          <w:color w:val="auto"/>
          <w:sz w:val="32"/>
          <w:szCs w:val="32"/>
        </w:rPr>
        <w:t>成3</w:t>
      </w:r>
      <w:r>
        <w:rPr>
          <w:rFonts w:hint="eastAsia" w:ascii="仿宋_GB2312" w:hAnsi="仿宋_GB2312" w:eastAsia="仿宋_GB2312" w:cs="仿宋_GB2312"/>
          <w:bCs/>
          <w:color w:val="auto"/>
          <w:sz w:val="32"/>
          <w:szCs w:val="32"/>
        </w:rPr>
        <w:t>～</w:t>
      </w:r>
      <w:r>
        <w:rPr>
          <w:rFonts w:hint="eastAsia" w:ascii="仿宋_GB2312" w:hAnsi="仿宋_GB2312" w:eastAsia="仿宋_GB2312" w:cs="仿宋_GB2312"/>
          <w:color w:val="auto"/>
          <w:sz w:val="32"/>
          <w:szCs w:val="32"/>
        </w:rPr>
        <w:t>5种疾病的中医康复理论和管理模式研究报告，形成具有循证证据的中医康复技术、方案15</w:t>
      </w:r>
      <w:r>
        <w:rPr>
          <w:rFonts w:hint="eastAsia" w:ascii="仿宋_GB2312" w:hAnsi="仿宋_GB2312" w:eastAsia="仿宋_GB2312" w:cs="仿宋_GB2312"/>
          <w:bCs/>
          <w:color w:val="auto"/>
          <w:sz w:val="32"/>
          <w:szCs w:val="32"/>
        </w:rPr>
        <w:t>～</w:t>
      </w:r>
      <w:r>
        <w:rPr>
          <w:rFonts w:hint="eastAsia" w:ascii="仿宋_GB2312" w:hAnsi="仿宋_GB2312" w:eastAsia="仿宋_GB2312" w:cs="仿宋_GB2312"/>
          <w:color w:val="auto"/>
          <w:sz w:val="32"/>
          <w:szCs w:val="32"/>
        </w:rPr>
        <w:t>20项，建立具有中医特色的康复结局评价体系。</w:t>
      </w:r>
    </w:p>
    <w:p>
      <w:pPr>
        <w:keepNext w:val="0"/>
        <w:keepLines w:val="0"/>
        <w:pageBreakBefore w:val="0"/>
        <w:widowControl w:val="0"/>
        <w:kinsoku/>
        <w:wordWrap/>
        <w:overflowPunct/>
        <w:topLinePunct w:val="0"/>
        <w:bidi w:val="0"/>
        <w:adjustRightInd w:val="0"/>
        <w:snapToGrid w:val="0"/>
        <w:spacing w:line="360" w:lineRule="auto"/>
        <w:ind w:left="0" w:leftChars="0" w:right="0" w:rightChars="0" w:firstLine="640" w:firstLineChars="200"/>
        <w:textAlignment w:val="auto"/>
        <w:rPr>
          <w:rFonts w:hint="eastAsia" w:ascii="仿宋_GB2312" w:hAnsi="仿宋_GB2312" w:eastAsia="仿宋_GB2312" w:cs="仿宋_GB2312"/>
          <w:bCs/>
          <w:color w:val="auto"/>
          <w:sz w:val="32"/>
          <w:szCs w:val="32"/>
        </w:rPr>
      </w:pPr>
      <w:r>
        <w:rPr>
          <w:rFonts w:hint="eastAsia" w:ascii="仿宋_GB2312" w:hAnsi="仿宋_GB2312" w:eastAsia="仿宋_GB2312" w:cs="仿宋_GB2312"/>
          <w:bCs/>
          <w:color w:val="auto"/>
          <w:sz w:val="32"/>
          <w:szCs w:val="32"/>
        </w:rPr>
        <w:t>支持年限：</w:t>
      </w:r>
      <w:r>
        <w:rPr>
          <w:rFonts w:hint="eastAsia" w:ascii="仿宋_GB2312" w:hAnsi="仿宋_GB2312" w:eastAsia="仿宋_GB2312" w:cs="仿宋_GB2312"/>
          <w:color w:val="auto"/>
          <w:sz w:val="32"/>
          <w:szCs w:val="32"/>
        </w:rPr>
        <w:t>201</w:t>
      </w:r>
      <w:r>
        <w:rPr>
          <w:rFonts w:hint="eastAsia" w:ascii="仿宋_GB2312" w:hAnsi="仿宋_GB2312" w:eastAsia="仿宋_GB2312" w:cs="仿宋_GB2312"/>
          <w:color w:val="auto"/>
          <w:sz w:val="32"/>
          <w:szCs w:val="32"/>
          <w:lang w:val="en-US" w:eastAsia="zh-CN"/>
        </w:rPr>
        <w:t>8—</w:t>
      </w:r>
      <w:r>
        <w:rPr>
          <w:rFonts w:hint="eastAsia" w:ascii="仿宋_GB2312" w:hAnsi="仿宋_GB2312" w:eastAsia="仿宋_GB2312" w:cs="仿宋_GB2312"/>
          <w:color w:val="auto"/>
          <w:sz w:val="32"/>
          <w:szCs w:val="32"/>
        </w:rPr>
        <w:t>202</w:t>
      </w: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rPr>
        <w:t>年</w:t>
      </w:r>
    </w:p>
    <w:p>
      <w:pPr>
        <w:keepNext w:val="0"/>
        <w:keepLines w:val="0"/>
        <w:pageBreakBefore w:val="0"/>
        <w:widowControl w:val="0"/>
        <w:kinsoku/>
        <w:wordWrap/>
        <w:overflowPunct/>
        <w:topLinePunct w:val="0"/>
        <w:bidi w:val="0"/>
        <w:adjustRightInd w:val="0"/>
        <w:snapToGrid w:val="0"/>
        <w:spacing w:line="360" w:lineRule="auto"/>
        <w:ind w:left="0" w:leftChars="0" w:right="0" w:rightChars="0" w:firstLine="640" w:firstLineChars="200"/>
        <w:textAlignment w:val="auto"/>
        <w:rPr>
          <w:rFonts w:hint="eastAsia" w:ascii="仿宋_GB2312" w:hAnsi="仿宋_GB2312" w:eastAsia="仿宋_GB2312" w:cs="仿宋_GB2312"/>
          <w:bCs/>
          <w:color w:val="auto"/>
          <w:sz w:val="32"/>
          <w:szCs w:val="32"/>
        </w:rPr>
      </w:pPr>
      <w:r>
        <w:rPr>
          <w:rFonts w:hint="eastAsia" w:ascii="仿宋_GB2312" w:hAnsi="仿宋_GB2312" w:eastAsia="仿宋_GB2312" w:cs="仿宋_GB2312"/>
          <w:bCs/>
          <w:color w:val="auto"/>
          <w:sz w:val="32"/>
          <w:szCs w:val="32"/>
        </w:rPr>
        <w:t>拟支持项目数：1～2项</w:t>
      </w:r>
    </w:p>
    <w:p>
      <w:pPr>
        <w:pStyle w:val="2"/>
        <w:keepNext w:val="0"/>
        <w:keepLines w:val="0"/>
        <w:pageBreakBefore w:val="0"/>
        <w:widowControl w:val="0"/>
        <w:kinsoku/>
        <w:wordWrap/>
        <w:overflowPunct/>
        <w:topLinePunct w:val="0"/>
        <w:bidi w:val="0"/>
        <w:adjustRightInd w:val="0"/>
        <w:snapToGrid w:val="0"/>
        <w:spacing w:before="0" w:after="0" w:line="360" w:lineRule="auto"/>
        <w:ind w:left="0" w:leftChars="0" w:right="0" w:rightChars="0" w:firstLine="643" w:firstLineChars="200"/>
        <w:textAlignment w:val="auto"/>
        <w:rPr>
          <w:rFonts w:hint="eastAsia" w:ascii="仿宋_GB2312" w:hAnsi="仿宋_GB2312" w:eastAsia="仿宋_GB2312" w:cs="仿宋_GB2312"/>
          <w:color w:val="auto"/>
          <w:sz w:val="32"/>
          <w:szCs w:val="32"/>
        </w:rPr>
      </w:pPr>
      <w:bookmarkStart w:id="61" w:name="_Toc459120984"/>
      <w:bookmarkStart w:id="62" w:name="_Toc24175"/>
      <w:bookmarkStart w:id="63" w:name="_Toc466641301"/>
      <w:r>
        <w:rPr>
          <w:rFonts w:hint="eastAsia" w:ascii="仿宋_GB2312" w:hAnsi="仿宋_GB2312" w:eastAsia="仿宋_GB2312" w:cs="仿宋_GB2312"/>
          <w:color w:val="auto"/>
          <w:sz w:val="32"/>
          <w:szCs w:val="32"/>
        </w:rPr>
        <w:t>3中药资源保障</w:t>
      </w:r>
      <w:bookmarkEnd w:id="61"/>
      <w:bookmarkEnd w:id="62"/>
      <w:bookmarkEnd w:id="63"/>
    </w:p>
    <w:p>
      <w:pPr>
        <w:pStyle w:val="3"/>
        <w:keepNext w:val="0"/>
        <w:keepLines w:val="0"/>
        <w:pageBreakBefore w:val="0"/>
        <w:widowControl w:val="0"/>
        <w:kinsoku/>
        <w:wordWrap/>
        <w:overflowPunct/>
        <w:topLinePunct w:val="0"/>
        <w:bidi w:val="0"/>
        <w:adjustRightInd w:val="0"/>
        <w:snapToGrid w:val="0"/>
        <w:spacing w:before="0" w:after="0" w:line="360" w:lineRule="auto"/>
        <w:ind w:left="0" w:leftChars="0" w:right="0" w:rightChars="0" w:firstLine="643" w:firstLineChars="200"/>
        <w:textAlignment w:val="auto"/>
        <w:rPr>
          <w:rFonts w:hint="eastAsia" w:ascii="仿宋_GB2312" w:hAnsi="仿宋_GB2312" w:eastAsia="仿宋_GB2312" w:cs="仿宋_GB2312"/>
          <w:color w:val="auto"/>
          <w:sz w:val="32"/>
          <w:szCs w:val="32"/>
        </w:rPr>
      </w:pPr>
      <w:bookmarkStart w:id="64" w:name="_Toc466641305"/>
      <w:bookmarkStart w:id="65" w:name="_Toc16056"/>
      <w:bookmarkStart w:id="66" w:name="_Toc459120988"/>
      <w:r>
        <w:rPr>
          <w:rFonts w:hint="eastAsia" w:ascii="仿宋_GB2312" w:hAnsi="仿宋_GB2312" w:eastAsia="仿宋_GB2312" w:cs="仿宋_GB2312"/>
          <w:color w:val="auto"/>
          <w:sz w:val="32"/>
          <w:szCs w:val="32"/>
        </w:rPr>
        <w:t>3.2珍稀濒危中药资源新来源开发及中药材综合利用</w:t>
      </w:r>
      <w:bookmarkEnd w:id="64"/>
      <w:bookmarkEnd w:id="65"/>
      <w:bookmarkEnd w:id="66"/>
    </w:p>
    <w:p>
      <w:pPr>
        <w:keepNext w:val="0"/>
        <w:keepLines w:val="0"/>
        <w:pageBreakBefore w:val="0"/>
        <w:widowControl w:val="0"/>
        <w:kinsoku/>
        <w:wordWrap/>
        <w:overflowPunct/>
        <w:topLinePunct w:val="0"/>
        <w:bidi w:val="0"/>
        <w:adjustRightInd w:val="0"/>
        <w:snapToGrid w:val="0"/>
        <w:spacing w:line="360" w:lineRule="auto"/>
        <w:ind w:left="0" w:leftChars="0" w:right="0" w:rightChars="0" w:firstLine="643" w:firstLineChars="200"/>
        <w:textAlignment w:val="auto"/>
        <w:rPr>
          <w:rFonts w:hint="eastAsia" w:ascii="仿宋_GB2312" w:hAnsi="仿宋_GB2312" w:eastAsia="仿宋_GB2312" w:cs="仿宋_GB2312"/>
          <w:b/>
          <w:bCs/>
          <w:color w:val="auto"/>
          <w:sz w:val="32"/>
          <w:szCs w:val="32"/>
        </w:rPr>
      </w:pPr>
      <w:bookmarkStart w:id="67" w:name="_Toc459120989"/>
      <w:bookmarkStart w:id="68" w:name="_Toc466641306"/>
      <w:bookmarkStart w:id="69" w:name="_Toc17128"/>
      <w:bookmarkStart w:id="70" w:name="_Toc459120991"/>
      <w:bookmarkStart w:id="71" w:name="_Toc466641308"/>
      <w:r>
        <w:rPr>
          <w:rFonts w:hint="eastAsia" w:ascii="仿宋_GB2312" w:hAnsi="仿宋_GB2312" w:eastAsia="仿宋_GB2312" w:cs="仿宋_GB2312"/>
          <w:b/>
          <w:bCs/>
          <w:color w:val="auto"/>
          <w:sz w:val="32"/>
          <w:szCs w:val="32"/>
        </w:rPr>
        <w:t>3.2.1珍稀濒危中药资源新来源开发</w:t>
      </w:r>
      <w:bookmarkEnd w:id="67"/>
      <w:bookmarkEnd w:id="68"/>
      <w:bookmarkEnd w:id="69"/>
    </w:p>
    <w:p>
      <w:pPr>
        <w:pStyle w:val="4"/>
        <w:keepNext w:val="0"/>
        <w:keepLines w:val="0"/>
        <w:pageBreakBefore w:val="0"/>
        <w:widowControl w:val="0"/>
        <w:kinsoku/>
        <w:wordWrap/>
        <w:overflowPunct/>
        <w:topLinePunct w:val="0"/>
        <w:bidi w:val="0"/>
        <w:adjustRightInd w:val="0"/>
        <w:snapToGrid w:val="0"/>
        <w:spacing w:before="0" w:after="0" w:line="360" w:lineRule="auto"/>
        <w:ind w:left="0" w:leftChars="0" w:right="0" w:rightChars="0" w:firstLine="643" w:firstLineChars="200"/>
        <w:textAlignment w:val="auto"/>
        <w:rPr>
          <w:rFonts w:hint="eastAsia" w:ascii="仿宋_GB2312" w:hAnsi="仿宋_GB2312" w:eastAsia="仿宋_GB2312" w:cs="仿宋_GB2312"/>
          <w:b w:val="0"/>
          <w:bCs w:val="0"/>
          <w:color w:val="auto"/>
          <w:sz w:val="32"/>
          <w:szCs w:val="32"/>
        </w:rPr>
      </w:pPr>
      <w:bookmarkStart w:id="72" w:name="_Toc773"/>
      <w:r>
        <w:rPr>
          <w:rFonts w:hint="eastAsia" w:ascii="仿宋_GB2312" w:hAnsi="仿宋_GB2312" w:eastAsia="仿宋_GB2312" w:cs="仿宋_GB2312"/>
          <w:b/>
          <w:bCs/>
          <w:color w:val="auto"/>
          <w:sz w:val="32"/>
          <w:szCs w:val="32"/>
        </w:rPr>
        <w:t>研究内容</w:t>
      </w:r>
      <w:r>
        <w:rPr>
          <w:rFonts w:hint="eastAsia" w:ascii="仿宋_GB2312" w:hAnsi="仿宋_GB2312" w:eastAsia="仿宋_GB2312" w:cs="仿宋_GB2312"/>
          <w:b w:val="0"/>
          <w:bCs w:val="0"/>
          <w:color w:val="auto"/>
          <w:sz w:val="32"/>
          <w:szCs w:val="32"/>
        </w:rPr>
        <w:t>：针对我国珍稀濒危中药材资源可持续利用面临着挑战，开发珍稀濒危中药资源新来源研究创新资源，遴选民族、民间长期使用、确有疗效的药用植物、或珍稀濒危中药材的替代品为研究对象，加强珍稀濒危中药人工繁育或替代品研究，开发新药材或新药用部位。</w:t>
      </w:r>
    </w:p>
    <w:p>
      <w:pPr>
        <w:pStyle w:val="4"/>
        <w:keepNext w:val="0"/>
        <w:keepLines w:val="0"/>
        <w:pageBreakBefore w:val="0"/>
        <w:widowControl w:val="0"/>
        <w:kinsoku/>
        <w:wordWrap/>
        <w:overflowPunct/>
        <w:topLinePunct w:val="0"/>
        <w:bidi w:val="0"/>
        <w:adjustRightInd w:val="0"/>
        <w:snapToGrid w:val="0"/>
        <w:spacing w:before="0" w:after="0" w:line="360" w:lineRule="auto"/>
        <w:ind w:left="0" w:leftChars="0" w:right="0" w:rightChars="0" w:firstLine="643" w:firstLineChars="200"/>
        <w:textAlignment w:val="auto"/>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bCs/>
          <w:color w:val="auto"/>
          <w:sz w:val="32"/>
          <w:szCs w:val="32"/>
        </w:rPr>
        <w:t>考核指标</w:t>
      </w:r>
      <w:r>
        <w:rPr>
          <w:rFonts w:hint="eastAsia" w:ascii="仿宋_GB2312" w:hAnsi="仿宋_GB2312" w:eastAsia="仿宋_GB2312" w:cs="仿宋_GB2312"/>
          <w:b w:val="0"/>
          <w:bCs w:val="0"/>
          <w:color w:val="auto"/>
          <w:sz w:val="32"/>
          <w:szCs w:val="32"/>
        </w:rPr>
        <w:t>：完成10种珍稀濒危替代品（新中药材或中药材新药用部位）临床前研究资料，其中5种以上药材申报临床。</w:t>
      </w:r>
    </w:p>
    <w:p>
      <w:pPr>
        <w:pStyle w:val="4"/>
        <w:keepNext w:val="0"/>
        <w:keepLines w:val="0"/>
        <w:pageBreakBefore w:val="0"/>
        <w:widowControl w:val="0"/>
        <w:kinsoku/>
        <w:wordWrap/>
        <w:overflowPunct/>
        <w:topLinePunct w:val="0"/>
        <w:bidi w:val="0"/>
        <w:adjustRightInd w:val="0"/>
        <w:snapToGrid w:val="0"/>
        <w:spacing w:before="0" w:after="0" w:line="360" w:lineRule="auto"/>
        <w:ind w:left="0" w:leftChars="0" w:right="0" w:rightChars="0" w:firstLine="640" w:firstLineChars="200"/>
        <w:textAlignment w:val="auto"/>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rPr>
        <w:t xml:space="preserve">支持年限：2018—2021年 </w:t>
      </w:r>
    </w:p>
    <w:p>
      <w:pPr>
        <w:pStyle w:val="4"/>
        <w:keepNext w:val="0"/>
        <w:keepLines w:val="0"/>
        <w:pageBreakBefore w:val="0"/>
        <w:widowControl w:val="0"/>
        <w:kinsoku/>
        <w:wordWrap/>
        <w:overflowPunct/>
        <w:topLinePunct w:val="0"/>
        <w:bidi w:val="0"/>
        <w:adjustRightInd w:val="0"/>
        <w:snapToGrid w:val="0"/>
        <w:spacing w:before="0" w:after="0" w:line="360" w:lineRule="auto"/>
        <w:ind w:left="0" w:leftChars="0" w:right="0" w:rightChars="0" w:firstLine="640" w:firstLineChars="200"/>
        <w:textAlignment w:val="auto"/>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rPr>
        <w:t>拟支持项目数：1～2项</w:t>
      </w:r>
    </w:p>
    <w:p>
      <w:pPr>
        <w:pStyle w:val="4"/>
        <w:keepNext w:val="0"/>
        <w:keepLines w:val="0"/>
        <w:pageBreakBefore w:val="0"/>
        <w:widowControl w:val="0"/>
        <w:kinsoku/>
        <w:wordWrap/>
        <w:overflowPunct/>
        <w:topLinePunct w:val="0"/>
        <w:bidi w:val="0"/>
        <w:adjustRightInd w:val="0"/>
        <w:snapToGrid w:val="0"/>
        <w:spacing w:before="0" w:after="0" w:line="360" w:lineRule="auto"/>
        <w:ind w:left="0" w:leftChars="0" w:right="0" w:rightChars="0" w:firstLine="643"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3.2.</w:t>
      </w: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中药资源合成生物学研究</w:t>
      </w:r>
      <w:bookmarkEnd w:id="70"/>
      <w:bookmarkEnd w:id="71"/>
      <w:bookmarkEnd w:id="72"/>
    </w:p>
    <w:p>
      <w:pPr>
        <w:keepNext w:val="0"/>
        <w:keepLines w:val="0"/>
        <w:pageBreakBefore w:val="0"/>
        <w:widowControl w:val="0"/>
        <w:kinsoku/>
        <w:wordWrap/>
        <w:overflowPunct/>
        <w:topLinePunct w:val="0"/>
        <w:bidi w:val="0"/>
        <w:adjustRightInd w:val="0"/>
        <w:snapToGrid w:val="0"/>
        <w:spacing w:line="360" w:lineRule="auto"/>
        <w:ind w:left="0" w:leftChars="0" w:right="0" w:rightChars="0" w:firstLine="643"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rPr>
        <w:t>研究内容</w:t>
      </w:r>
      <w:r>
        <w:rPr>
          <w:rFonts w:hint="eastAsia" w:ascii="仿宋_GB2312" w:hAnsi="仿宋_GB2312" w:eastAsia="仿宋_GB2312" w:cs="仿宋_GB2312"/>
          <w:color w:val="auto"/>
          <w:sz w:val="32"/>
          <w:szCs w:val="32"/>
        </w:rPr>
        <w:t>：针对来源于大宗常用或者珍稀濒危中药资源中具有明确药理活性的有效成分，应用分子生药学的理论与方法，开展中药资源“功能基因挖掘-生物合成途径解析-合成生物学生产”的中药活性成分合成生物学模式的研究，包括中药遗传资源挖掘、活性成分生物合成途径及调控机制、合成生物学底盘细胞以及关键技术的开发和应用、活性成分高效生产的微生物工厂的构建等相关研究，建立中药资源可持续利用的新途径和新方法，提升研究及应用转化水平。</w:t>
      </w:r>
    </w:p>
    <w:p>
      <w:pPr>
        <w:keepNext w:val="0"/>
        <w:keepLines w:val="0"/>
        <w:pageBreakBefore w:val="0"/>
        <w:widowControl w:val="0"/>
        <w:kinsoku/>
        <w:wordWrap/>
        <w:overflowPunct/>
        <w:topLinePunct w:val="0"/>
        <w:bidi w:val="0"/>
        <w:adjustRightInd w:val="0"/>
        <w:snapToGrid w:val="0"/>
        <w:spacing w:line="360" w:lineRule="auto"/>
        <w:ind w:left="0" w:leftChars="0" w:right="0" w:rightChars="0" w:firstLine="643"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rPr>
        <w:t>考核指标</w:t>
      </w:r>
      <w:r>
        <w:rPr>
          <w:rFonts w:hint="eastAsia" w:ascii="仿宋_GB2312" w:hAnsi="仿宋_GB2312" w:eastAsia="仿宋_GB2312" w:cs="仿宋_GB2312"/>
          <w:color w:val="auto"/>
          <w:sz w:val="32"/>
          <w:szCs w:val="32"/>
        </w:rPr>
        <w:t>：解析2</w:t>
      </w:r>
      <w:r>
        <w:rPr>
          <w:rFonts w:hint="eastAsia" w:ascii="仿宋_GB2312" w:hAnsi="仿宋_GB2312" w:eastAsia="仿宋_GB2312" w:cs="仿宋_GB2312"/>
          <w:bCs/>
          <w:color w:val="auto"/>
          <w:sz w:val="32"/>
          <w:szCs w:val="32"/>
          <w:lang w:eastAsia="zh-CN"/>
        </w:rPr>
        <w:t>～</w:t>
      </w:r>
      <w:r>
        <w:rPr>
          <w:rFonts w:hint="eastAsia" w:ascii="仿宋_GB2312" w:hAnsi="仿宋_GB2312" w:eastAsia="仿宋_GB2312" w:cs="仿宋_GB2312"/>
          <w:color w:val="auto"/>
          <w:sz w:val="32"/>
          <w:szCs w:val="32"/>
        </w:rPr>
        <w:t>3条典型的大宗常用或珍稀濒危中药活性成分的生物合成途径并揭示其形成分子机制，进一步构建高产细胞工厂进行生产；形成中药活性成分生物合成途径解析及调控研究并利用合成生物学发酵生产的中药资源可持续利用的新模式。</w:t>
      </w:r>
    </w:p>
    <w:p>
      <w:pPr>
        <w:keepNext w:val="0"/>
        <w:keepLines w:val="0"/>
        <w:pageBreakBefore w:val="0"/>
        <w:widowControl w:val="0"/>
        <w:kinsoku/>
        <w:wordWrap/>
        <w:overflowPunct/>
        <w:topLinePunct w:val="0"/>
        <w:bidi w:val="0"/>
        <w:adjustRightInd w:val="0"/>
        <w:snapToGrid w:val="0"/>
        <w:spacing w:line="360" w:lineRule="auto"/>
        <w:ind w:left="0" w:leftChars="0" w:right="0" w:rightChars="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支持年限：2018-2021年</w:t>
      </w:r>
    </w:p>
    <w:p>
      <w:pPr>
        <w:keepNext w:val="0"/>
        <w:keepLines w:val="0"/>
        <w:pageBreakBefore w:val="0"/>
        <w:widowControl w:val="0"/>
        <w:kinsoku/>
        <w:wordWrap/>
        <w:overflowPunct/>
        <w:topLinePunct w:val="0"/>
        <w:bidi w:val="0"/>
        <w:adjustRightInd w:val="0"/>
        <w:snapToGrid w:val="0"/>
        <w:spacing w:line="360" w:lineRule="auto"/>
        <w:ind w:left="0" w:leftChars="0" w:right="0" w:rightChars="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拟支持项目数：</w:t>
      </w:r>
      <w:r>
        <w:rPr>
          <w:rFonts w:hint="eastAsia" w:ascii="仿宋_GB2312" w:hAnsi="仿宋_GB2312" w:eastAsia="仿宋_GB2312" w:cs="仿宋_GB2312"/>
          <w:b w:val="0"/>
          <w:bCs w:val="0"/>
          <w:color w:val="auto"/>
          <w:sz w:val="32"/>
          <w:szCs w:val="32"/>
        </w:rPr>
        <w:t>1～2项</w:t>
      </w:r>
    </w:p>
    <w:p>
      <w:pPr>
        <w:pStyle w:val="3"/>
        <w:keepNext w:val="0"/>
        <w:keepLines w:val="0"/>
        <w:pageBreakBefore w:val="0"/>
        <w:widowControl w:val="0"/>
        <w:numPr>
          <w:ilvl w:val="0"/>
          <w:numId w:val="0"/>
        </w:numPr>
        <w:kinsoku/>
        <w:wordWrap/>
        <w:overflowPunct/>
        <w:topLinePunct w:val="0"/>
        <w:autoSpaceDE/>
        <w:autoSpaceDN/>
        <w:bidi w:val="0"/>
        <w:adjustRightInd w:val="0"/>
        <w:snapToGrid w:val="0"/>
        <w:spacing w:before="0" w:after="0" w:line="360" w:lineRule="auto"/>
        <w:ind w:left="0" w:leftChars="0" w:right="0" w:rightChars="0" w:firstLine="643" w:firstLineChars="200"/>
        <w:jc w:val="both"/>
        <w:textAlignment w:val="auto"/>
        <w:outlineLvl w:val="1"/>
        <w:rPr>
          <w:rFonts w:hint="eastAsia" w:ascii="仿宋_GB2312" w:hAnsi="仿宋_GB2312" w:eastAsia="仿宋_GB2312" w:cs="仿宋_GB2312"/>
          <w:color w:val="auto"/>
          <w:sz w:val="32"/>
          <w:szCs w:val="32"/>
        </w:rPr>
      </w:pPr>
      <w:bookmarkStart w:id="73" w:name="_Toc24005"/>
      <w:bookmarkStart w:id="74" w:name="_Toc466641317"/>
      <w:bookmarkStart w:id="75" w:name="_Toc459121000"/>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rPr>
        <w:t>中医药大健康产业科技示范</w:t>
      </w:r>
      <w:bookmarkEnd w:id="73"/>
      <w:bookmarkEnd w:id="74"/>
    </w:p>
    <w:p>
      <w:pPr>
        <w:pStyle w:val="3"/>
        <w:keepNext w:val="0"/>
        <w:keepLines w:val="0"/>
        <w:pageBreakBefore w:val="0"/>
        <w:widowControl w:val="0"/>
        <w:kinsoku/>
        <w:wordWrap/>
        <w:overflowPunct/>
        <w:topLinePunct w:val="0"/>
        <w:bidi w:val="0"/>
        <w:adjustRightInd w:val="0"/>
        <w:snapToGrid w:val="0"/>
        <w:spacing w:before="0" w:after="0" w:line="360" w:lineRule="auto"/>
        <w:ind w:left="0" w:leftChars="0" w:right="0" w:rightChars="0" w:firstLine="643" w:firstLineChars="200"/>
        <w:textAlignment w:val="auto"/>
        <w:rPr>
          <w:rFonts w:hint="eastAsia" w:ascii="仿宋_GB2312" w:hAnsi="仿宋_GB2312" w:eastAsia="仿宋_GB2312" w:cs="仿宋_GB2312"/>
          <w:color w:val="auto"/>
          <w:sz w:val="32"/>
          <w:szCs w:val="32"/>
        </w:rPr>
      </w:pPr>
      <w:bookmarkStart w:id="76" w:name="_Toc466641318"/>
      <w:bookmarkStart w:id="77" w:name="_Toc15403"/>
      <w:r>
        <w:rPr>
          <w:rFonts w:hint="eastAsia" w:ascii="仿宋_GB2312" w:hAnsi="仿宋_GB2312" w:eastAsia="仿宋_GB2312" w:cs="仿宋_GB2312"/>
          <w:color w:val="auto"/>
          <w:sz w:val="32"/>
          <w:szCs w:val="32"/>
        </w:rPr>
        <w:t>4.1中药（材）大健康产品研发</w:t>
      </w:r>
      <w:bookmarkEnd w:id="76"/>
      <w:bookmarkEnd w:id="77"/>
    </w:p>
    <w:p>
      <w:pPr>
        <w:pStyle w:val="4"/>
        <w:keepNext w:val="0"/>
        <w:keepLines w:val="0"/>
        <w:pageBreakBefore w:val="0"/>
        <w:widowControl w:val="0"/>
        <w:kinsoku/>
        <w:wordWrap/>
        <w:overflowPunct/>
        <w:topLinePunct w:val="0"/>
        <w:bidi w:val="0"/>
        <w:adjustRightInd w:val="0"/>
        <w:snapToGrid w:val="0"/>
        <w:spacing w:before="0" w:after="0" w:line="360" w:lineRule="auto"/>
        <w:ind w:left="0" w:leftChars="0" w:right="0" w:rightChars="0" w:firstLine="643" w:firstLineChars="200"/>
        <w:textAlignment w:val="auto"/>
        <w:rPr>
          <w:rFonts w:hint="eastAsia" w:ascii="仿宋_GB2312" w:hAnsi="仿宋_GB2312" w:eastAsia="仿宋_GB2312" w:cs="仿宋_GB2312"/>
          <w:color w:val="auto"/>
          <w:sz w:val="32"/>
          <w:szCs w:val="32"/>
          <w:highlight w:val="none"/>
        </w:rPr>
      </w:pPr>
      <w:bookmarkStart w:id="78" w:name="_Toc466641319"/>
      <w:bookmarkStart w:id="79" w:name="_Toc6228"/>
      <w:r>
        <w:rPr>
          <w:rFonts w:hint="eastAsia" w:ascii="仿宋_GB2312" w:hAnsi="仿宋_GB2312" w:eastAsia="仿宋_GB2312" w:cs="仿宋_GB2312"/>
          <w:color w:val="auto"/>
          <w:sz w:val="32"/>
          <w:szCs w:val="32"/>
          <w:highlight w:val="none"/>
        </w:rPr>
        <w:t>4.1.1中药材大品种开发</w:t>
      </w:r>
      <w:bookmarkEnd w:id="78"/>
      <w:bookmarkEnd w:id="79"/>
    </w:p>
    <w:p>
      <w:pPr>
        <w:keepNext w:val="0"/>
        <w:keepLines w:val="0"/>
        <w:pageBreakBefore w:val="0"/>
        <w:widowControl w:val="0"/>
        <w:kinsoku/>
        <w:wordWrap/>
        <w:overflowPunct/>
        <w:topLinePunct w:val="0"/>
        <w:bidi w:val="0"/>
        <w:adjustRightInd w:val="0"/>
        <w:snapToGrid w:val="0"/>
        <w:spacing w:line="360" w:lineRule="auto"/>
        <w:ind w:left="0" w:leftChars="0" w:right="0" w:rightChars="0" w:firstLine="643"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rPr>
        <w:t>研究内容</w:t>
      </w:r>
      <w:r>
        <w:rPr>
          <w:rFonts w:hint="eastAsia" w:ascii="仿宋_GB2312" w:hAnsi="仿宋_GB2312" w:eastAsia="仿宋_GB2312" w:cs="仿宋_GB2312"/>
          <w:bCs/>
          <w:color w:val="auto"/>
          <w:sz w:val="32"/>
          <w:szCs w:val="32"/>
        </w:rPr>
        <w:t>：</w:t>
      </w:r>
      <w:r>
        <w:rPr>
          <w:rFonts w:hint="eastAsia" w:ascii="仿宋_GB2312" w:hAnsi="仿宋_GB2312" w:eastAsia="仿宋_GB2312" w:cs="仿宋_GB2312"/>
          <w:color w:val="auto"/>
          <w:sz w:val="32"/>
          <w:szCs w:val="32"/>
        </w:rPr>
        <w:t>结合国家中药现代化科技产业基地发展布局，选择有代表性、有地方特色的中药材大品种，从种植、研发、生产等多个环节进行全链条、一体化设计，系统组织开展种植技术、核心功效、物质基础、生物活性、健康产品开发等现代科学研究，突破制约产业发展的瓶颈问题，构建完善的产业链条，开发功能因子明确、功效确切的中药</w:t>
      </w:r>
      <w:r>
        <w:rPr>
          <w:rFonts w:hint="eastAsia" w:ascii="仿宋_GB2312" w:hAnsi="仿宋_GB2312" w:eastAsia="仿宋_GB2312" w:cs="仿宋_GB2312"/>
          <w:color w:val="auto"/>
          <w:sz w:val="32"/>
          <w:szCs w:val="32"/>
          <w:lang w:eastAsia="zh-CN"/>
        </w:rPr>
        <w:t>材</w:t>
      </w:r>
      <w:r>
        <w:rPr>
          <w:rFonts w:hint="eastAsia" w:ascii="仿宋_GB2312" w:hAnsi="仿宋_GB2312" w:eastAsia="仿宋_GB2312" w:cs="仿宋_GB2312"/>
          <w:color w:val="auto"/>
          <w:sz w:val="32"/>
          <w:szCs w:val="32"/>
        </w:rPr>
        <w:t>大健康产品，带动农民脱贫致富。</w:t>
      </w:r>
    </w:p>
    <w:p>
      <w:pPr>
        <w:keepNext w:val="0"/>
        <w:keepLines w:val="0"/>
        <w:pageBreakBefore w:val="0"/>
        <w:widowControl w:val="0"/>
        <w:kinsoku/>
        <w:wordWrap/>
        <w:overflowPunct/>
        <w:topLinePunct w:val="0"/>
        <w:bidi w:val="0"/>
        <w:adjustRightInd w:val="0"/>
        <w:snapToGrid w:val="0"/>
        <w:spacing w:line="360" w:lineRule="auto"/>
        <w:ind w:left="0" w:leftChars="0" w:right="0" w:rightChars="0" w:firstLine="643"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rPr>
        <w:t>考核指标</w:t>
      </w:r>
      <w:r>
        <w:rPr>
          <w:rFonts w:hint="eastAsia" w:ascii="仿宋_GB2312" w:hAnsi="仿宋_GB2312" w:eastAsia="仿宋_GB2312" w:cs="仿宋_GB2312"/>
          <w:color w:val="auto"/>
          <w:sz w:val="32"/>
          <w:szCs w:val="32"/>
        </w:rPr>
        <w:t>：建立集成多学科力量和国内优势单位、涵盖中药材大品种种植、加工、研究、开发、生产的高水平产学研联合攻关团队，建立中药材大品种全产业链技术研究体系和高水平的研发平台；利用当代先进的方法，中药材大品种核心功效生物学机制研究取得突破性进展，带动相关产业的跨越发展。每个中药材大品种规范化种植面积不少于1000亩，推广面积不少于5000亩，带动不少于1万农户增收（户均增收5000元），每个中药材大品种深度开发不少于10个科技含量高、功效明确的中药材大健康产品并实现上市销售，获批发明专利不少于10项，形成中药材大品种产业集群和龙头企业，产业规模不低于100亿。</w:t>
      </w:r>
    </w:p>
    <w:p>
      <w:pPr>
        <w:keepNext w:val="0"/>
        <w:keepLines w:val="0"/>
        <w:pageBreakBefore w:val="0"/>
        <w:widowControl w:val="0"/>
        <w:kinsoku/>
        <w:wordWrap/>
        <w:overflowPunct/>
        <w:topLinePunct w:val="0"/>
        <w:bidi w:val="0"/>
        <w:adjustRightInd w:val="0"/>
        <w:snapToGrid w:val="0"/>
        <w:spacing w:line="360" w:lineRule="auto"/>
        <w:ind w:left="0" w:leftChars="0" w:right="0" w:rightChars="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CN"/>
        </w:rPr>
        <w:t>实施</w:t>
      </w:r>
      <w:r>
        <w:rPr>
          <w:rFonts w:hint="eastAsia" w:ascii="仿宋_GB2312" w:hAnsi="仿宋_GB2312" w:eastAsia="仿宋_GB2312" w:cs="仿宋_GB2312"/>
          <w:color w:val="auto"/>
          <w:sz w:val="32"/>
          <w:szCs w:val="32"/>
        </w:rPr>
        <w:t>年限：201</w:t>
      </w:r>
      <w:r>
        <w:rPr>
          <w:rFonts w:hint="eastAsia" w:ascii="仿宋_GB2312" w:hAnsi="仿宋_GB2312" w:eastAsia="仿宋_GB2312" w:cs="仿宋_GB2312"/>
          <w:color w:val="auto"/>
          <w:sz w:val="32"/>
          <w:szCs w:val="32"/>
          <w:lang w:val="en-US" w:eastAsia="zh-CN"/>
        </w:rPr>
        <w:t>8</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202</w:t>
      </w: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rPr>
        <w:t>年</w:t>
      </w:r>
    </w:p>
    <w:p>
      <w:pPr>
        <w:keepNext w:val="0"/>
        <w:keepLines w:val="0"/>
        <w:pageBreakBefore w:val="0"/>
        <w:widowControl w:val="0"/>
        <w:kinsoku/>
        <w:wordWrap/>
        <w:overflowPunct/>
        <w:topLinePunct w:val="0"/>
        <w:bidi w:val="0"/>
        <w:adjustRightInd w:val="0"/>
        <w:snapToGrid w:val="0"/>
        <w:spacing w:line="360" w:lineRule="auto"/>
        <w:ind w:left="0" w:leftChars="0" w:right="0" w:rightChars="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拟支持项目数：</w:t>
      </w:r>
      <w:r>
        <w:rPr>
          <w:rFonts w:hint="eastAsia" w:ascii="仿宋_GB2312" w:hAnsi="仿宋_GB2312" w:eastAsia="仿宋_GB2312" w:cs="仿宋_GB2312"/>
          <w:color w:val="auto"/>
          <w:sz w:val="32"/>
          <w:szCs w:val="32"/>
          <w:lang w:eastAsia="zh-CN"/>
        </w:rPr>
        <w:t>不超过</w:t>
      </w:r>
      <w:r>
        <w:rPr>
          <w:rFonts w:hint="eastAsia" w:ascii="仿宋_GB2312" w:hAnsi="仿宋_GB2312" w:eastAsia="仿宋_GB2312" w:cs="仿宋_GB2312"/>
          <w:color w:val="auto"/>
          <w:sz w:val="32"/>
          <w:szCs w:val="32"/>
          <w:lang w:val="en-US" w:eastAsia="zh-CN"/>
        </w:rPr>
        <w:t>5项</w:t>
      </w:r>
    </w:p>
    <w:p>
      <w:pPr>
        <w:keepNext w:val="0"/>
        <w:keepLines w:val="0"/>
        <w:pageBreakBefore w:val="0"/>
        <w:widowControl w:val="0"/>
        <w:kinsoku/>
        <w:wordWrap/>
        <w:overflowPunct/>
        <w:topLinePunct w:val="0"/>
        <w:bidi w:val="0"/>
        <w:adjustRightInd w:val="0"/>
        <w:snapToGrid w:val="0"/>
        <w:spacing w:line="360" w:lineRule="auto"/>
        <w:ind w:left="0" w:leftChars="0" w:right="0" w:rightChars="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有关说明：每个国家中药现代化科技产业（种植）基地</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国家生物医药科技产业基地组织推荐不超过1种道地大品种</w:t>
      </w:r>
      <w:r>
        <w:rPr>
          <w:rFonts w:hint="eastAsia" w:ascii="仿宋_GB2312" w:hAnsi="仿宋_GB2312" w:eastAsia="仿宋_GB2312" w:cs="仿宋_GB2312"/>
          <w:color w:val="auto"/>
          <w:sz w:val="32"/>
          <w:szCs w:val="32"/>
          <w:lang w:eastAsia="zh-CN"/>
        </w:rPr>
        <w:t>（2017年已立项</w:t>
      </w:r>
      <w:r>
        <w:rPr>
          <w:rFonts w:hint="eastAsia" w:ascii="仿宋_GB2312" w:hAnsi="仿宋_GB2312" w:eastAsia="仿宋_GB2312" w:cs="仿宋_GB2312"/>
          <w:color w:val="auto"/>
          <w:sz w:val="32"/>
          <w:szCs w:val="32"/>
        </w:rPr>
        <w:t>国家中药现代化科技产业</w:t>
      </w:r>
      <w:r>
        <w:rPr>
          <w:rFonts w:hint="eastAsia" w:ascii="仿宋_GB2312" w:hAnsi="仿宋_GB2312" w:eastAsia="仿宋_GB2312" w:cs="仿宋_GB2312"/>
          <w:color w:val="auto"/>
          <w:sz w:val="32"/>
          <w:szCs w:val="32"/>
          <w:lang w:val="en-US" w:eastAsia="zh-CN"/>
        </w:rPr>
        <w:t>/</w:t>
      </w:r>
      <w:r>
        <w:rPr>
          <w:rFonts w:hint="eastAsia" w:ascii="仿宋_GB2312" w:hAnsi="仿宋_GB2312" w:eastAsia="仿宋_GB2312" w:cs="仿宋_GB2312"/>
          <w:color w:val="auto"/>
          <w:sz w:val="32"/>
          <w:szCs w:val="32"/>
        </w:rPr>
        <w:t>种植基地</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国家生物医药科技产业基地</w:t>
      </w:r>
      <w:r>
        <w:rPr>
          <w:rFonts w:hint="eastAsia" w:ascii="仿宋_GB2312" w:hAnsi="仿宋_GB2312" w:eastAsia="仿宋_GB2312" w:cs="仿宋_GB2312"/>
          <w:color w:val="auto"/>
          <w:sz w:val="32"/>
          <w:szCs w:val="32"/>
          <w:lang w:eastAsia="zh-CN"/>
        </w:rPr>
        <w:t>不能再推荐）</w:t>
      </w:r>
      <w:r>
        <w:rPr>
          <w:rFonts w:hint="eastAsia" w:ascii="仿宋_GB2312" w:hAnsi="仿宋_GB2312" w:eastAsia="仿宋_GB2312" w:cs="仿宋_GB2312"/>
          <w:color w:val="auto"/>
          <w:sz w:val="32"/>
          <w:szCs w:val="32"/>
          <w:lang w:val="en-US" w:eastAsia="zh-CN"/>
        </w:rPr>
        <w:t>。</w:t>
      </w:r>
      <w:r>
        <w:rPr>
          <w:rFonts w:hint="eastAsia" w:ascii="仿宋_GB2312" w:hAnsi="仿宋_GB2312" w:eastAsia="仿宋_GB2312" w:cs="仿宋_GB2312"/>
          <w:color w:val="auto"/>
          <w:sz w:val="32"/>
          <w:szCs w:val="32"/>
        </w:rPr>
        <w:t>鼓励围绕大品种从种植、研发、产业多环节进行集成设计，其他经费（包括地方财政经费、单位出资及社会渠道资金等）与中央财政经费比例不低于3:1，其中地方财政经费与中央财政经费比例不低于1:1。鼓励不同省份围绕同一道地品种联合申报。优先在定点扶贫地区示范推广。申报单位需提交省（自治区、直辖市）科技主管部门认可的实施方案。</w:t>
      </w:r>
    </w:p>
    <w:p>
      <w:pPr>
        <w:pStyle w:val="4"/>
        <w:keepNext w:val="0"/>
        <w:keepLines w:val="0"/>
        <w:pageBreakBefore w:val="0"/>
        <w:widowControl w:val="0"/>
        <w:kinsoku/>
        <w:wordWrap/>
        <w:overflowPunct/>
        <w:topLinePunct w:val="0"/>
        <w:bidi w:val="0"/>
        <w:adjustRightInd w:val="0"/>
        <w:snapToGrid w:val="0"/>
        <w:spacing w:before="0" w:after="0" w:line="360" w:lineRule="auto"/>
        <w:ind w:left="0" w:leftChars="0" w:right="0" w:rightChars="0" w:firstLine="643" w:firstLineChars="200"/>
        <w:textAlignment w:val="auto"/>
        <w:rPr>
          <w:rFonts w:hint="eastAsia" w:ascii="仿宋_GB2312" w:hAnsi="仿宋_GB2312" w:eastAsia="仿宋_GB2312" w:cs="仿宋_GB2312"/>
          <w:color w:val="auto"/>
          <w:sz w:val="32"/>
          <w:szCs w:val="32"/>
        </w:rPr>
      </w:pPr>
      <w:bookmarkStart w:id="80" w:name="_Toc20219"/>
      <w:bookmarkStart w:id="81" w:name="_Toc466641320"/>
      <w:r>
        <w:rPr>
          <w:rFonts w:hint="eastAsia" w:ascii="仿宋_GB2312" w:hAnsi="仿宋_GB2312" w:eastAsia="仿宋_GB2312" w:cs="仿宋_GB2312"/>
          <w:color w:val="auto"/>
          <w:sz w:val="32"/>
          <w:szCs w:val="32"/>
        </w:rPr>
        <w:t>4.1.</w:t>
      </w: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中药复方保健产品评价技术及示范研发</w:t>
      </w:r>
      <w:bookmarkEnd w:id="80"/>
      <w:bookmarkEnd w:id="81"/>
      <w:r>
        <w:rPr>
          <w:rFonts w:hint="eastAsia" w:ascii="仿宋_GB2312" w:hAnsi="仿宋_GB2312" w:eastAsia="仿宋_GB2312" w:cs="仿宋_GB2312"/>
          <w:color w:val="auto"/>
          <w:sz w:val="32"/>
          <w:szCs w:val="32"/>
        </w:rPr>
        <w:tab/>
      </w:r>
    </w:p>
    <w:p>
      <w:pPr>
        <w:keepNext w:val="0"/>
        <w:keepLines w:val="0"/>
        <w:pageBreakBefore w:val="0"/>
        <w:widowControl w:val="0"/>
        <w:kinsoku/>
        <w:wordWrap/>
        <w:overflowPunct/>
        <w:topLinePunct w:val="0"/>
        <w:bidi w:val="0"/>
        <w:adjustRightInd w:val="0"/>
        <w:snapToGrid w:val="0"/>
        <w:spacing w:line="360" w:lineRule="auto"/>
        <w:ind w:left="0" w:leftChars="0" w:right="0" w:rightChars="0" w:firstLine="643"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rPr>
        <w:t>研究内容</w:t>
      </w:r>
      <w:r>
        <w:rPr>
          <w:rFonts w:hint="eastAsia" w:ascii="仿宋_GB2312" w:hAnsi="仿宋_GB2312" w:eastAsia="仿宋_GB2312" w:cs="仿宋_GB2312"/>
          <w:color w:val="auto"/>
          <w:sz w:val="32"/>
          <w:szCs w:val="32"/>
        </w:rPr>
        <w:t>：研究具有良好基础及应用前景的复方健康中药产品的成分、组分，阐释其核心功效的现代科学内涵；开发功能因子明确、保健功能确切的复方保健中药产品；建立复方保健中药产品功效研究、产品研发平台。</w:t>
      </w:r>
    </w:p>
    <w:p>
      <w:pPr>
        <w:keepNext w:val="0"/>
        <w:keepLines w:val="0"/>
        <w:pageBreakBefore w:val="0"/>
        <w:widowControl w:val="0"/>
        <w:kinsoku/>
        <w:wordWrap/>
        <w:overflowPunct/>
        <w:topLinePunct w:val="0"/>
        <w:bidi w:val="0"/>
        <w:adjustRightInd w:val="0"/>
        <w:snapToGrid w:val="0"/>
        <w:spacing w:line="360" w:lineRule="auto"/>
        <w:ind w:left="0" w:leftChars="0" w:right="0" w:rightChars="0" w:firstLine="643"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rPr>
        <w:t>考核指标</w:t>
      </w:r>
      <w:r>
        <w:rPr>
          <w:rFonts w:hint="eastAsia" w:ascii="仿宋_GB2312" w:hAnsi="仿宋_GB2312" w:eastAsia="仿宋_GB2312" w:cs="仿宋_GB2312"/>
          <w:b/>
          <w:color w:val="auto"/>
          <w:sz w:val="32"/>
          <w:szCs w:val="32"/>
        </w:rPr>
        <w:t>：</w:t>
      </w:r>
      <w:r>
        <w:rPr>
          <w:rFonts w:hint="eastAsia" w:ascii="仿宋_GB2312" w:hAnsi="仿宋_GB2312" w:eastAsia="仿宋_GB2312" w:cs="仿宋_GB2312"/>
          <w:color w:val="auto"/>
          <w:sz w:val="32"/>
          <w:szCs w:val="32"/>
        </w:rPr>
        <w:t>阐释3</w:t>
      </w:r>
      <w:r>
        <w:rPr>
          <w:rFonts w:hint="eastAsia" w:ascii="仿宋_GB2312" w:hAnsi="仿宋_GB2312" w:eastAsia="仿宋_GB2312" w:cs="仿宋_GB2312"/>
          <w:bCs/>
          <w:color w:val="auto"/>
          <w:sz w:val="32"/>
          <w:szCs w:val="32"/>
        </w:rPr>
        <w:t>～</w:t>
      </w:r>
      <w:r>
        <w:rPr>
          <w:rFonts w:hint="eastAsia" w:ascii="仿宋_GB2312" w:hAnsi="仿宋_GB2312" w:eastAsia="仿宋_GB2312" w:cs="仿宋_GB2312"/>
          <w:color w:val="auto"/>
          <w:sz w:val="32"/>
          <w:szCs w:val="32"/>
        </w:rPr>
        <w:t>5种代表性中药复方保健产品核心功效的现代科学内涵；完成3</w:t>
      </w:r>
      <w:r>
        <w:rPr>
          <w:rFonts w:hint="eastAsia" w:ascii="仿宋_GB2312" w:hAnsi="仿宋_GB2312" w:eastAsia="仿宋_GB2312" w:cs="仿宋_GB2312"/>
          <w:bCs/>
          <w:color w:val="auto"/>
          <w:sz w:val="32"/>
          <w:szCs w:val="32"/>
        </w:rPr>
        <w:t>～</w:t>
      </w:r>
      <w:r>
        <w:rPr>
          <w:rFonts w:hint="eastAsia" w:ascii="仿宋_GB2312" w:hAnsi="仿宋_GB2312" w:eastAsia="仿宋_GB2312" w:cs="仿宋_GB2312"/>
          <w:color w:val="auto"/>
          <w:sz w:val="32"/>
          <w:szCs w:val="32"/>
        </w:rPr>
        <w:t>5中药复方保健产品的深度开发，实现产业化；建立复方保健中药产品功效研究、产品研发平台。</w:t>
      </w:r>
    </w:p>
    <w:p>
      <w:pPr>
        <w:keepNext w:val="0"/>
        <w:keepLines w:val="0"/>
        <w:pageBreakBefore w:val="0"/>
        <w:widowControl w:val="0"/>
        <w:kinsoku/>
        <w:wordWrap/>
        <w:overflowPunct/>
        <w:topLinePunct w:val="0"/>
        <w:bidi w:val="0"/>
        <w:adjustRightInd w:val="0"/>
        <w:snapToGrid w:val="0"/>
        <w:spacing w:line="360" w:lineRule="auto"/>
        <w:ind w:left="0" w:leftChars="0" w:right="0" w:rightChars="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支持年限：201</w:t>
      </w:r>
      <w:r>
        <w:rPr>
          <w:rFonts w:hint="eastAsia" w:ascii="仿宋_GB2312" w:hAnsi="仿宋_GB2312" w:eastAsia="仿宋_GB2312" w:cs="仿宋_GB2312"/>
          <w:color w:val="auto"/>
          <w:sz w:val="32"/>
          <w:szCs w:val="32"/>
          <w:lang w:val="en-US" w:eastAsia="zh-CN"/>
        </w:rPr>
        <w:t>8—</w:t>
      </w:r>
      <w:r>
        <w:rPr>
          <w:rFonts w:hint="eastAsia" w:ascii="仿宋_GB2312" w:hAnsi="仿宋_GB2312" w:eastAsia="仿宋_GB2312" w:cs="仿宋_GB2312"/>
          <w:color w:val="auto"/>
          <w:sz w:val="32"/>
          <w:szCs w:val="32"/>
        </w:rPr>
        <w:t>202</w:t>
      </w: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rPr>
        <w:t>年</w:t>
      </w:r>
    </w:p>
    <w:p>
      <w:pPr>
        <w:keepNext w:val="0"/>
        <w:keepLines w:val="0"/>
        <w:pageBreakBefore w:val="0"/>
        <w:widowControl w:val="0"/>
        <w:kinsoku/>
        <w:wordWrap/>
        <w:overflowPunct/>
        <w:topLinePunct w:val="0"/>
        <w:bidi w:val="0"/>
        <w:adjustRightInd w:val="0"/>
        <w:snapToGrid w:val="0"/>
        <w:spacing w:line="360" w:lineRule="auto"/>
        <w:ind w:left="0" w:leftChars="0" w:right="0" w:rightChars="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拟支持项目数：1</w:t>
      </w:r>
      <w:r>
        <w:rPr>
          <w:rFonts w:hint="eastAsia" w:ascii="仿宋_GB2312" w:hAnsi="仿宋_GB2312" w:eastAsia="仿宋_GB2312" w:cs="仿宋_GB2312"/>
          <w:bCs/>
          <w:color w:val="auto"/>
          <w:sz w:val="32"/>
          <w:szCs w:val="32"/>
        </w:rPr>
        <w:t>～</w:t>
      </w:r>
      <w:r>
        <w:rPr>
          <w:rFonts w:hint="eastAsia" w:ascii="仿宋_GB2312" w:hAnsi="仿宋_GB2312" w:eastAsia="仿宋_GB2312" w:cs="仿宋_GB2312"/>
          <w:color w:val="auto"/>
          <w:sz w:val="32"/>
          <w:szCs w:val="32"/>
        </w:rPr>
        <w:t>2项</w:t>
      </w:r>
    </w:p>
    <w:p>
      <w:pPr>
        <w:pStyle w:val="3"/>
        <w:keepNext w:val="0"/>
        <w:keepLines w:val="0"/>
        <w:pageBreakBefore w:val="0"/>
        <w:widowControl w:val="0"/>
        <w:kinsoku/>
        <w:wordWrap/>
        <w:overflowPunct/>
        <w:topLinePunct w:val="0"/>
        <w:bidi w:val="0"/>
        <w:adjustRightInd w:val="0"/>
        <w:snapToGrid w:val="0"/>
        <w:spacing w:before="0" w:after="0" w:line="360" w:lineRule="auto"/>
        <w:ind w:left="0" w:leftChars="0" w:right="0" w:rightChars="0" w:firstLine="643" w:firstLineChars="200"/>
        <w:textAlignment w:val="auto"/>
        <w:rPr>
          <w:rFonts w:hint="eastAsia" w:ascii="仿宋_GB2312" w:hAnsi="仿宋_GB2312" w:eastAsia="仿宋_GB2312" w:cs="仿宋_GB2312"/>
          <w:color w:val="auto"/>
          <w:sz w:val="32"/>
          <w:szCs w:val="32"/>
        </w:rPr>
      </w:pPr>
      <w:bookmarkStart w:id="82" w:name="_Toc466641322"/>
      <w:bookmarkStart w:id="83" w:name="_Toc30227"/>
      <w:r>
        <w:rPr>
          <w:rFonts w:hint="eastAsia" w:ascii="仿宋_GB2312" w:hAnsi="仿宋_GB2312" w:eastAsia="仿宋_GB2312" w:cs="仿宋_GB2312"/>
          <w:color w:val="auto"/>
          <w:sz w:val="32"/>
          <w:szCs w:val="32"/>
        </w:rPr>
        <w:t>4.2中药生产、制剂关键技术研究</w:t>
      </w:r>
      <w:bookmarkEnd w:id="82"/>
      <w:bookmarkEnd w:id="83"/>
    </w:p>
    <w:p>
      <w:pPr>
        <w:pStyle w:val="4"/>
        <w:keepNext w:val="0"/>
        <w:keepLines w:val="0"/>
        <w:pageBreakBefore w:val="0"/>
        <w:widowControl w:val="0"/>
        <w:kinsoku/>
        <w:wordWrap/>
        <w:overflowPunct/>
        <w:topLinePunct w:val="0"/>
        <w:bidi w:val="0"/>
        <w:adjustRightInd w:val="0"/>
        <w:snapToGrid w:val="0"/>
        <w:spacing w:before="0" w:after="0" w:line="360" w:lineRule="auto"/>
        <w:ind w:left="0" w:leftChars="0" w:right="0" w:rightChars="0" w:firstLine="643" w:firstLineChars="200"/>
        <w:textAlignment w:val="auto"/>
        <w:rPr>
          <w:rFonts w:hint="eastAsia" w:ascii="仿宋_GB2312" w:hAnsi="仿宋_GB2312" w:eastAsia="仿宋_GB2312" w:cs="仿宋_GB2312"/>
          <w:color w:val="auto"/>
          <w:sz w:val="32"/>
          <w:szCs w:val="32"/>
        </w:rPr>
      </w:pPr>
      <w:bookmarkStart w:id="84" w:name="_Toc20727"/>
      <w:bookmarkStart w:id="85" w:name="_Toc466641324"/>
      <w:r>
        <w:rPr>
          <w:rFonts w:hint="eastAsia" w:ascii="仿宋_GB2312" w:hAnsi="仿宋_GB2312" w:eastAsia="仿宋_GB2312" w:cs="仿宋_GB2312"/>
          <w:color w:val="auto"/>
          <w:sz w:val="32"/>
          <w:szCs w:val="32"/>
        </w:rPr>
        <w:t>4.2.</w:t>
      </w: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rPr>
        <w:t>中药剂型设计与辅料筛选评价技术研究</w:t>
      </w:r>
      <w:bookmarkEnd w:id="84"/>
      <w:bookmarkEnd w:id="85"/>
    </w:p>
    <w:p>
      <w:pPr>
        <w:keepNext w:val="0"/>
        <w:keepLines w:val="0"/>
        <w:pageBreakBefore w:val="0"/>
        <w:widowControl w:val="0"/>
        <w:kinsoku/>
        <w:wordWrap/>
        <w:overflowPunct/>
        <w:topLinePunct w:val="0"/>
        <w:bidi w:val="0"/>
        <w:adjustRightInd w:val="0"/>
        <w:snapToGrid w:val="0"/>
        <w:spacing w:line="360" w:lineRule="auto"/>
        <w:ind w:left="0" w:leftChars="0" w:right="0" w:rightChars="0" w:firstLine="643"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rPr>
        <w:t>研究内容</w:t>
      </w:r>
      <w:r>
        <w:rPr>
          <w:rFonts w:hint="eastAsia" w:ascii="仿宋_GB2312" w:hAnsi="仿宋_GB2312" w:eastAsia="仿宋_GB2312" w:cs="仿宋_GB2312"/>
          <w:color w:val="auto"/>
          <w:sz w:val="32"/>
          <w:szCs w:val="32"/>
        </w:rPr>
        <w:t>：根据临床和工业生产的需求，选择中药大品种或常用剂型，开展中药剂型改进、设计和适应性评价的关键技术研究；开展以改善中药固体制剂防潮、提高缓控释制剂的载药量、片剂的可压性和注射剂的增溶性等辅料筛选与评价技术研究。</w:t>
      </w:r>
    </w:p>
    <w:p>
      <w:pPr>
        <w:keepNext w:val="0"/>
        <w:keepLines w:val="0"/>
        <w:pageBreakBefore w:val="0"/>
        <w:widowControl w:val="0"/>
        <w:kinsoku/>
        <w:wordWrap/>
        <w:overflowPunct/>
        <w:topLinePunct w:val="0"/>
        <w:bidi w:val="0"/>
        <w:adjustRightInd w:val="0"/>
        <w:snapToGrid w:val="0"/>
        <w:spacing w:line="360" w:lineRule="auto"/>
        <w:ind w:left="0" w:leftChars="0" w:right="0" w:rightChars="0" w:firstLine="643"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rPr>
        <w:t>考核指标</w:t>
      </w:r>
      <w:r>
        <w:rPr>
          <w:rFonts w:hint="eastAsia" w:ascii="仿宋_GB2312" w:hAnsi="仿宋_GB2312" w:eastAsia="仿宋_GB2312" w:cs="仿宋_GB2312"/>
          <w:color w:val="auto"/>
          <w:sz w:val="32"/>
          <w:szCs w:val="32"/>
        </w:rPr>
        <w:t>：建立5</w:t>
      </w:r>
      <w:r>
        <w:rPr>
          <w:rFonts w:hint="eastAsia" w:ascii="仿宋_GB2312" w:hAnsi="仿宋_GB2312" w:eastAsia="仿宋_GB2312" w:cs="仿宋_GB2312"/>
          <w:bCs/>
          <w:color w:val="auto"/>
          <w:sz w:val="32"/>
          <w:szCs w:val="32"/>
        </w:rPr>
        <w:t>～</w:t>
      </w:r>
      <w:r>
        <w:rPr>
          <w:rFonts w:hint="eastAsia" w:ascii="仿宋_GB2312" w:hAnsi="仿宋_GB2312" w:eastAsia="仿宋_GB2312" w:cs="仿宋_GB2312"/>
          <w:color w:val="auto"/>
          <w:sz w:val="32"/>
          <w:szCs w:val="32"/>
        </w:rPr>
        <w:t>10项中药剂型改进、设计及适宜性评价关键技术规范，提供生产应用资料；筛选出4</w:t>
      </w:r>
      <w:r>
        <w:rPr>
          <w:rFonts w:hint="eastAsia" w:ascii="仿宋_GB2312" w:hAnsi="仿宋_GB2312" w:eastAsia="仿宋_GB2312" w:cs="仿宋_GB2312"/>
          <w:bCs/>
          <w:color w:val="auto"/>
          <w:sz w:val="32"/>
          <w:szCs w:val="32"/>
        </w:rPr>
        <w:t>～</w:t>
      </w:r>
      <w:r>
        <w:rPr>
          <w:rFonts w:hint="eastAsia" w:ascii="仿宋_GB2312" w:hAnsi="仿宋_GB2312" w:eastAsia="仿宋_GB2312" w:cs="仿宋_GB2312"/>
          <w:color w:val="auto"/>
          <w:sz w:val="32"/>
          <w:szCs w:val="32"/>
        </w:rPr>
        <w:t>8种中药辅料，形成筛选评价技术规范，提供生产应用资料。</w:t>
      </w:r>
    </w:p>
    <w:p>
      <w:pPr>
        <w:keepNext w:val="0"/>
        <w:keepLines w:val="0"/>
        <w:pageBreakBefore w:val="0"/>
        <w:widowControl w:val="0"/>
        <w:kinsoku/>
        <w:wordWrap/>
        <w:overflowPunct/>
        <w:topLinePunct w:val="0"/>
        <w:bidi w:val="0"/>
        <w:adjustRightInd w:val="0"/>
        <w:snapToGrid w:val="0"/>
        <w:spacing w:line="360" w:lineRule="auto"/>
        <w:ind w:left="0" w:leftChars="0" w:right="0" w:rightChars="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相关说明：具有相关研究基础、专业化队伍和中试条件的科研单位、企业优先，具有明确的中药剂型改进、设计、评价与辅料筛选、评价技术研究需求。生产企业须有5种以上剂型产品，</w:t>
      </w:r>
      <w:r>
        <w:rPr>
          <w:rFonts w:hint="eastAsia" w:ascii="仿宋_GB2312" w:hAnsi="仿宋_GB2312" w:eastAsia="仿宋_GB2312" w:cs="仿宋_GB2312"/>
          <w:color w:val="auto"/>
          <w:sz w:val="32"/>
          <w:szCs w:val="32"/>
          <w:lang w:eastAsia="zh-CN"/>
        </w:rPr>
        <w:t>其</w:t>
      </w:r>
      <w:r>
        <w:rPr>
          <w:rFonts w:hint="eastAsia" w:ascii="仿宋_GB2312" w:hAnsi="仿宋_GB2312" w:eastAsia="仿宋_GB2312" w:cs="仿宋_GB2312"/>
          <w:color w:val="auto"/>
          <w:sz w:val="32"/>
          <w:szCs w:val="32"/>
        </w:rPr>
        <w:t>他经费(包括地方财政经费、单位出资及社会渠道资金等)与中央财政经费比例不低于1:1。</w:t>
      </w:r>
    </w:p>
    <w:p>
      <w:pPr>
        <w:keepNext w:val="0"/>
        <w:keepLines w:val="0"/>
        <w:pageBreakBefore w:val="0"/>
        <w:widowControl w:val="0"/>
        <w:kinsoku/>
        <w:wordWrap/>
        <w:overflowPunct/>
        <w:topLinePunct w:val="0"/>
        <w:bidi w:val="0"/>
        <w:adjustRightInd w:val="0"/>
        <w:snapToGrid w:val="0"/>
        <w:spacing w:line="360" w:lineRule="auto"/>
        <w:ind w:left="0" w:leftChars="0" w:right="0" w:rightChars="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支持年限：201</w:t>
      </w:r>
      <w:r>
        <w:rPr>
          <w:rFonts w:hint="eastAsia" w:ascii="仿宋_GB2312" w:hAnsi="仿宋_GB2312" w:eastAsia="仿宋_GB2312" w:cs="仿宋_GB2312"/>
          <w:color w:val="auto"/>
          <w:sz w:val="32"/>
          <w:szCs w:val="32"/>
          <w:lang w:val="en-US" w:eastAsia="zh-CN"/>
        </w:rPr>
        <w:t>8—</w:t>
      </w:r>
      <w:r>
        <w:rPr>
          <w:rFonts w:hint="eastAsia" w:ascii="仿宋_GB2312" w:hAnsi="仿宋_GB2312" w:eastAsia="仿宋_GB2312" w:cs="仿宋_GB2312"/>
          <w:color w:val="auto"/>
          <w:sz w:val="32"/>
          <w:szCs w:val="32"/>
        </w:rPr>
        <w:t>202</w:t>
      </w: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rPr>
        <w:t>年</w:t>
      </w:r>
    </w:p>
    <w:p>
      <w:pPr>
        <w:keepNext w:val="0"/>
        <w:keepLines w:val="0"/>
        <w:pageBreakBefore w:val="0"/>
        <w:widowControl w:val="0"/>
        <w:kinsoku/>
        <w:wordWrap/>
        <w:overflowPunct/>
        <w:topLinePunct w:val="0"/>
        <w:bidi w:val="0"/>
        <w:adjustRightInd w:val="0"/>
        <w:snapToGrid w:val="0"/>
        <w:spacing w:line="360" w:lineRule="auto"/>
        <w:ind w:left="0" w:leftChars="0" w:right="0" w:rightChars="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拟支持项目数：1</w:t>
      </w:r>
      <w:r>
        <w:rPr>
          <w:rFonts w:hint="eastAsia" w:ascii="仿宋_GB2312" w:hAnsi="仿宋_GB2312" w:eastAsia="仿宋_GB2312" w:cs="仿宋_GB2312"/>
          <w:bCs/>
          <w:color w:val="auto"/>
          <w:sz w:val="32"/>
          <w:szCs w:val="32"/>
        </w:rPr>
        <w:t>～</w:t>
      </w:r>
      <w:r>
        <w:rPr>
          <w:rFonts w:hint="eastAsia" w:ascii="仿宋_GB2312" w:hAnsi="仿宋_GB2312" w:eastAsia="仿宋_GB2312" w:cs="仿宋_GB2312"/>
          <w:color w:val="auto"/>
          <w:sz w:val="32"/>
          <w:szCs w:val="32"/>
        </w:rPr>
        <w:t>2项</w:t>
      </w:r>
    </w:p>
    <w:p>
      <w:pPr>
        <w:pStyle w:val="3"/>
        <w:keepNext w:val="0"/>
        <w:keepLines w:val="0"/>
        <w:pageBreakBefore w:val="0"/>
        <w:widowControl w:val="0"/>
        <w:kinsoku/>
        <w:wordWrap/>
        <w:overflowPunct/>
        <w:topLinePunct w:val="0"/>
        <w:bidi w:val="0"/>
        <w:adjustRightInd w:val="0"/>
        <w:snapToGrid w:val="0"/>
        <w:spacing w:before="0" w:after="0" w:line="360" w:lineRule="auto"/>
        <w:ind w:left="0" w:leftChars="0" w:right="0" w:rightChars="0" w:firstLine="643" w:firstLineChars="200"/>
        <w:textAlignment w:val="auto"/>
        <w:rPr>
          <w:rFonts w:hint="eastAsia" w:ascii="仿宋_GB2312" w:hAnsi="仿宋_GB2312" w:eastAsia="仿宋_GB2312" w:cs="仿宋_GB2312"/>
          <w:color w:val="auto"/>
          <w:sz w:val="32"/>
          <w:szCs w:val="32"/>
        </w:rPr>
      </w:pPr>
      <w:bookmarkStart w:id="86" w:name="_Toc466641325"/>
      <w:bookmarkStart w:id="87" w:name="_Toc13033"/>
      <w:r>
        <w:rPr>
          <w:rFonts w:hint="eastAsia" w:ascii="仿宋_GB2312" w:hAnsi="仿宋_GB2312" w:eastAsia="仿宋_GB2312" w:cs="仿宋_GB2312"/>
          <w:color w:val="auto"/>
          <w:sz w:val="32"/>
          <w:szCs w:val="32"/>
        </w:rPr>
        <w:t>4.3中药饮片与中成药整体质量控制及一致性评价技术</w:t>
      </w:r>
      <w:bookmarkEnd w:id="86"/>
      <w:bookmarkEnd w:id="87"/>
    </w:p>
    <w:p>
      <w:pPr>
        <w:keepNext w:val="0"/>
        <w:keepLines w:val="0"/>
        <w:pageBreakBefore w:val="0"/>
        <w:widowControl w:val="0"/>
        <w:kinsoku/>
        <w:wordWrap/>
        <w:overflowPunct/>
        <w:topLinePunct w:val="0"/>
        <w:bidi w:val="0"/>
        <w:adjustRightInd w:val="0"/>
        <w:snapToGrid w:val="0"/>
        <w:spacing w:line="360" w:lineRule="auto"/>
        <w:ind w:left="0" w:leftChars="0" w:right="0" w:rightChars="0" w:firstLine="643" w:firstLineChars="200"/>
        <w:textAlignment w:val="auto"/>
        <w:rPr>
          <w:rFonts w:hint="eastAsia" w:ascii="仿宋_GB2312" w:hAnsi="仿宋_GB2312" w:eastAsia="仿宋_GB2312" w:cs="仿宋_GB2312"/>
          <w:b/>
          <w:bCs/>
          <w:color w:val="auto"/>
          <w:sz w:val="32"/>
          <w:szCs w:val="32"/>
        </w:rPr>
      </w:pPr>
      <w:bookmarkStart w:id="88" w:name="_Toc15024"/>
      <w:bookmarkStart w:id="89" w:name="_Toc466641326"/>
      <w:bookmarkStart w:id="90" w:name="_Toc23724"/>
      <w:r>
        <w:rPr>
          <w:rFonts w:hint="eastAsia" w:ascii="仿宋_GB2312" w:hAnsi="仿宋_GB2312" w:eastAsia="仿宋_GB2312" w:cs="仿宋_GB2312"/>
          <w:b/>
          <w:bCs/>
          <w:color w:val="auto"/>
          <w:sz w:val="32"/>
          <w:szCs w:val="32"/>
        </w:rPr>
        <w:t>4.3.1中药饮片质量识别关键技术研究</w:t>
      </w:r>
      <w:bookmarkEnd w:id="88"/>
      <w:bookmarkEnd w:id="89"/>
    </w:p>
    <w:p>
      <w:pPr>
        <w:keepNext w:val="0"/>
        <w:keepLines w:val="0"/>
        <w:pageBreakBefore w:val="0"/>
        <w:widowControl w:val="0"/>
        <w:kinsoku/>
        <w:wordWrap/>
        <w:overflowPunct/>
        <w:topLinePunct w:val="0"/>
        <w:bidi w:val="0"/>
        <w:adjustRightInd w:val="0"/>
        <w:snapToGrid w:val="0"/>
        <w:spacing w:line="360" w:lineRule="auto"/>
        <w:ind w:left="0" w:leftChars="0" w:right="0" w:rightChars="0" w:firstLine="643"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rPr>
        <w:t>研究内容</w:t>
      </w:r>
      <w:r>
        <w:rPr>
          <w:rFonts w:hint="eastAsia" w:ascii="仿宋_GB2312" w:hAnsi="仿宋_GB2312" w:eastAsia="仿宋_GB2312" w:cs="仿宋_GB2312"/>
          <w:color w:val="auto"/>
          <w:sz w:val="32"/>
          <w:szCs w:val="32"/>
        </w:rPr>
        <w:t xml:space="preserve">：系统研究中药材、炮制辅料、炮制工艺对中药饮片质量和疗效的影响，解析中药饮片质量识别的要素、关键技术和表征方法，探索中药材、炮制工艺与质量相关联的饮片数字化质量评价新技术和新方法，研发符合中药饮片整体与专属特点的质量评价方法和标准。 </w:t>
      </w:r>
    </w:p>
    <w:p>
      <w:pPr>
        <w:keepNext w:val="0"/>
        <w:keepLines w:val="0"/>
        <w:pageBreakBefore w:val="0"/>
        <w:widowControl w:val="0"/>
        <w:kinsoku/>
        <w:wordWrap/>
        <w:overflowPunct/>
        <w:topLinePunct w:val="0"/>
        <w:bidi w:val="0"/>
        <w:adjustRightInd w:val="0"/>
        <w:snapToGrid w:val="0"/>
        <w:spacing w:line="360" w:lineRule="auto"/>
        <w:ind w:left="0" w:leftChars="0" w:right="0" w:rightChars="0" w:firstLine="643"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rPr>
        <w:t>考核指标</w:t>
      </w:r>
      <w:r>
        <w:rPr>
          <w:rFonts w:hint="eastAsia" w:ascii="仿宋_GB2312" w:hAnsi="仿宋_GB2312" w:eastAsia="仿宋_GB2312" w:cs="仿宋_GB2312"/>
          <w:color w:val="auto"/>
          <w:sz w:val="32"/>
          <w:szCs w:val="32"/>
        </w:rPr>
        <w:t>：研发5</w:t>
      </w:r>
      <w:r>
        <w:rPr>
          <w:rFonts w:hint="eastAsia" w:ascii="仿宋_GB2312" w:hAnsi="仿宋_GB2312" w:eastAsia="仿宋_GB2312" w:cs="仿宋_GB2312"/>
          <w:bCs/>
          <w:color w:val="auto"/>
          <w:sz w:val="32"/>
          <w:szCs w:val="32"/>
        </w:rPr>
        <w:t>～</w:t>
      </w:r>
      <w:r>
        <w:rPr>
          <w:rFonts w:hint="eastAsia" w:ascii="仿宋_GB2312" w:hAnsi="仿宋_GB2312" w:eastAsia="仿宋_GB2312" w:cs="仿宋_GB2312"/>
          <w:color w:val="auto"/>
          <w:sz w:val="32"/>
          <w:szCs w:val="32"/>
        </w:rPr>
        <w:t>10项中药饮片质量识别关键技术；建立5</w:t>
      </w:r>
      <w:r>
        <w:rPr>
          <w:rFonts w:hint="eastAsia" w:ascii="仿宋_GB2312" w:hAnsi="仿宋_GB2312" w:eastAsia="仿宋_GB2312" w:cs="仿宋_GB2312"/>
          <w:bCs/>
          <w:color w:val="auto"/>
          <w:sz w:val="32"/>
          <w:szCs w:val="32"/>
        </w:rPr>
        <w:t>～</w:t>
      </w:r>
      <w:r>
        <w:rPr>
          <w:rFonts w:hint="eastAsia" w:ascii="仿宋_GB2312" w:hAnsi="仿宋_GB2312" w:eastAsia="仿宋_GB2312" w:cs="仿宋_GB2312"/>
          <w:color w:val="auto"/>
          <w:sz w:val="32"/>
          <w:szCs w:val="32"/>
        </w:rPr>
        <w:t>10种炮制辅料的质量标准；建立80</w:t>
      </w:r>
      <w:r>
        <w:rPr>
          <w:rFonts w:hint="eastAsia" w:ascii="仿宋_GB2312" w:hAnsi="仿宋_GB2312" w:eastAsia="仿宋_GB2312" w:cs="仿宋_GB2312"/>
          <w:bCs/>
          <w:color w:val="auto"/>
          <w:sz w:val="32"/>
          <w:szCs w:val="32"/>
        </w:rPr>
        <w:t>～</w:t>
      </w:r>
      <w:r>
        <w:rPr>
          <w:rFonts w:hint="eastAsia" w:ascii="仿宋_GB2312" w:hAnsi="仿宋_GB2312" w:eastAsia="仿宋_GB2312" w:cs="仿宋_GB2312"/>
          <w:color w:val="auto"/>
          <w:sz w:val="32"/>
          <w:szCs w:val="32"/>
        </w:rPr>
        <w:t>100种体现饮片炮制特色的质量标准；建成中药饮片整体性及专属性的质量评价技术规范。</w:t>
      </w:r>
    </w:p>
    <w:p>
      <w:pPr>
        <w:keepNext w:val="0"/>
        <w:keepLines w:val="0"/>
        <w:pageBreakBefore w:val="0"/>
        <w:widowControl w:val="0"/>
        <w:kinsoku/>
        <w:wordWrap/>
        <w:overflowPunct/>
        <w:topLinePunct w:val="0"/>
        <w:bidi w:val="0"/>
        <w:adjustRightInd w:val="0"/>
        <w:snapToGrid w:val="0"/>
        <w:spacing w:line="360" w:lineRule="auto"/>
        <w:ind w:left="0" w:leftChars="0" w:right="0" w:rightChars="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支持年限：201</w:t>
      </w:r>
      <w:r>
        <w:rPr>
          <w:rFonts w:hint="eastAsia" w:ascii="仿宋_GB2312" w:hAnsi="仿宋_GB2312" w:eastAsia="仿宋_GB2312" w:cs="仿宋_GB2312"/>
          <w:color w:val="auto"/>
          <w:sz w:val="32"/>
          <w:szCs w:val="32"/>
          <w:lang w:val="en-US" w:eastAsia="zh-CN"/>
        </w:rPr>
        <w:t>8—</w:t>
      </w:r>
      <w:r>
        <w:rPr>
          <w:rFonts w:hint="eastAsia" w:ascii="仿宋_GB2312" w:hAnsi="仿宋_GB2312" w:eastAsia="仿宋_GB2312" w:cs="仿宋_GB2312"/>
          <w:color w:val="auto"/>
          <w:sz w:val="32"/>
          <w:szCs w:val="32"/>
        </w:rPr>
        <w:t>202</w:t>
      </w: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rPr>
        <w:t>年</w:t>
      </w:r>
    </w:p>
    <w:p>
      <w:pPr>
        <w:keepNext w:val="0"/>
        <w:keepLines w:val="0"/>
        <w:pageBreakBefore w:val="0"/>
        <w:widowControl w:val="0"/>
        <w:kinsoku/>
        <w:wordWrap/>
        <w:overflowPunct/>
        <w:topLinePunct w:val="0"/>
        <w:bidi w:val="0"/>
        <w:adjustRightInd w:val="0"/>
        <w:snapToGrid w:val="0"/>
        <w:spacing w:line="360" w:lineRule="auto"/>
        <w:ind w:left="0" w:leftChars="0" w:right="0" w:rightChars="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拟支持项目数：1</w:t>
      </w:r>
      <w:r>
        <w:rPr>
          <w:rFonts w:hint="eastAsia" w:ascii="仿宋_GB2312" w:hAnsi="仿宋_GB2312" w:eastAsia="仿宋_GB2312" w:cs="仿宋_GB2312"/>
          <w:bCs/>
          <w:color w:val="auto"/>
          <w:sz w:val="32"/>
          <w:szCs w:val="32"/>
        </w:rPr>
        <w:t>～</w:t>
      </w:r>
      <w:r>
        <w:rPr>
          <w:rFonts w:hint="eastAsia" w:ascii="仿宋_GB2312" w:hAnsi="仿宋_GB2312" w:eastAsia="仿宋_GB2312" w:cs="仿宋_GB2312"/>
          <w:color w:val="auto"/>
          <w:sz w:val="32"/>
          <w:szCs w:val="32"/>
        </w:rPr>
        <w:t>2项</w:t>
      </w:r>
    </w:p>
    <w:p>
      <w:pPr>
        <w:keepNext w:val="0"/>
        <w:keepLines w:val="0"/>
        <w:pageBreakBefore w:val="0"/>
        <w:widowControl w:val="0"/>
        <w:kinsoku/>
        <w:wordWrap/>
        <w:overflowPunct/>
        <w:topLinePunct w:val="0"/>
        <w:bidi w:val="0"/>
        <w:adjustRightInd w:val="0"/>
        <w:snapToGrid w:val="0"/>
        <w:spacing w:line="360" w:lineRule="auto"/>
        <w:ind w:left="0" w:leftChars="0" w:right="0" w:rightChars="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相关说明：饮片品种为《中国药典》收载和临床常用的；项目牵头单位具有雄厚的工作基础；鼓励具有相关研究基础的企业承担课题并其他经费(包括地方财政经费、单位出资及社会渠道资金等)与中央财政经费比例不低于1:1。</w:t>
      </w:r>
    </w:p>
    <w:p>
      <w:pPr>
        <w:pStyle w:val="4"/>
        <w:keepNext w:val="0"/>
        <w:keepLines w:val="0"/>
        <w:pageBreakBefore w:val="0"/>
        <w:widowControl w:val="0"/>
        <w:kinsoku/>
        <w:wordWrap/>
        <w:overflowPunct/>
        <w:topLinePunct w:val="0"/>
        <w:bidi w:val="0"/>
        <w:adjustRightInd w:val="0"/>
        <w:snapToGrid w:val="0"/>
        <w:spacing w:before="0" w:after="0" w:line="360" w:lineRule="auto"/>
        <w:ind w:left="0" w:leftChars="0" w:right="0" w:rightChars="0" w:firstLine="643"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4.3.2 中药饮片区域性、</w:t>
      </w:r>
      <w:r>
        <w:rPr>
          <w:rFonts w:hint="eastAsia" w:ascii="仿宋_GB2312" w:hAnsi="仿宋_GB2312" w:eastAsia="仿宋_GB2312" w:cs="仿宋_GB2312"/>
          <w:color w:val="auto"/>
          <w:sz w:val="32"/>
          <w:szCs w:val="32"/>
          <w:highlight w:val="none"/>
          <w:lang w:eastAsia="zh-CN"/>
        </w:rPr>
        <w:t>智能化</w:t>
      </w:r>
      <w:r>
        <w:rPr>
          <w:rFonts w:hint="eastAsia" w:ascii="仿宋_GB2312" w:hAnsi="仿宋_GB2312" w:eastAsia="仿宋_GB2312" w:cs="仿宋_GB2312"/>
          <w:color w:val="auto"/>
          <w:sz w:val="32"/>
          <w:szCs w:val="32"/>
          <w:highlight w:val="none"/>
        </w:rPr>
        <w:t>生产模式的建立</w:t>
      </w:r>
    </w:p>
    <w:p>
      <w:pPr>
        <w:keepNext w:val="0"/>
        <w:keepLines w:val="0"/>
        <w:pageBreakBefore w:val="0"/>
        <w:widowControl w:val="0"/>
        <w:kinsoku/>
        <w:wordWrap/>
        <w:overflowPunct/>
        <w:topLinePunct w:val="0"/>
        <w:bidi w:val="0"/>
        <w:adjustRightInd w:val="0"/>
        <w:snapToGrid w:val="0"/>
        <w:spacing w:line="360" w:lineRule="auto"/>
        <w:ind w:left="0" w:leftChars="0" w:right="0" w:rightChars="0" w:firstLine="643"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研究内容</w:t>
      </w:r>
      <w:r>
        <w:rPr>
          <w:rFonts w:hint="eastAsia" w:ascii="仿宋_GB2312" w:hAnsi="仿宋_GB2312" w:eastAsia="仿宋_GB2312" w:cs="仿宋_GB2312"/>
          <w:color w:val="auto"/>
          <w:sz w:val="32"/>
          <w:szCs w:val="32"/>
          <w:highlight w:val="none"/>
        </w:rPr>
        <w:t>：在继承传统经验的基础上，从生产技术、设备等方面变革目前饮片生产模式，实现中药饮片生产的</w:t>
      </w:r>
      <w:r>
        <w:rPr>
          <w:rFonts w:hint="eastAsia" w:ascii="仿宋_GB2312" w:hAnsi="仿宋_GB2312" w:eastAsia="仿宋_GB2312" w:cs="仿宋_GB2312"/>
          <w:color w:val="auto"/>
          <w:sz w:val="32"/>
          <w:szCs w:val="32"/>
          <w:highlight w:val="none"/>
          <w:lang w:eastAsia="zh-CN"/>
        </w:rPr>
        <w:t>现代化</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eastAsia="zh-CN"/>
        </w:rPr>
        <w:t>研制规范化及</w:t>
      </w:r>
      <w:r>
        <w:rPr>
          <w:rFonts w:hint="eastAsia" w:ascii="仿宋_GB2312" w:hAnsi="仿宋_GB2312" w:eastAsia="仿宋_GB2312" w:cs="仿宋_GB2312"/>
          <w:color w:val="auto"/>
          <w:sz w:val="32"/>
          <w:szCs w:val="32"/>
          <w:highlight w:val="none"/>
        </w:rPr>
        <w:t>过程控制</w:t>
      </w:r>
      <w:r>
        <w:rPr>
          <w:rFonts w:hint="eastAsia" w:ascii="仿宋_GB2312" w:hAnsi="仿宋_GB2312" w:eastAsia="仿宋_GB2312" w:cs="仿宋_GB2312"/>
          <w:color w:val="auto"/>
          <w:sz w:val="32"/>
          <w:szCs w:val="32"/>
          <w:highlight w:val="none"/>
          <w:lang w:eastAsia="zh-CN"/>
        </w:rPr>
        <w:t>智能</w:t>
      </w:r>
      <w:r>
        <w:rPr>
          <w:rFonts w:hint="eastAsia" w:ascii="仿宋_GB2312" w:hAnsi="仿宋_GB2312" w:eastAsia="仿宋_GB2312" w:cs="仿宋_GB2312"/>
          <w:color w:val="auto"/>
          <w:sz w:val="32"/>
          <w:szCs w:val="32"/>
          <w:highlight w:val="none"/>
        </w:rPr>
        <w:t>化的饮片生产线</w:t>
      </w:r>
      <w:r>
        <w:rPr>
          <w:rFonts w:hint="eastAsia" w:ascii="仿宋_GB2312" w:hAnsi="仿宋_GB2312" w:eastAsia="仿宋_GB2312" w:cs="仿宋_GB2312"/>
          <w:color w:val="auto"/>
          <w:sz w:val="32"/>
          <w:szCs w:val="32"/>
          <w:highlight w:val="none"/>
          <w:lang w:eastAsia="zh-CN"/>
        </w:rPr>
        <w:t>，和可移动的</w:t>
      </w:r>
      <w:r>
        <w:rPr>
          <w:rFonts w:hint="eastAsia" w:ascii="仿宋_GB2312" w:hAnsi="仿宋_GB2312" w:eastAsia="仿宋_GB2312" w:cs="仿宋_GB2312"/>
          <w:color w:val="auto"/>
          <w:sz w:val="32"/>
          <w:szCs w:val="32"/>
          <w:highlight w:val="none"/>
        </w:rPr>
        <w:t>产地加工饮片装备，从而构建</w:t>
      </w:r>
      <w:r>
        <w:rPr>
          <w:rFonts w:hint="eastAsia" w:ascii="仿宋_GB2312" w:hAnsi="仿宋_GB2312" w:eastAsia="仿宋_GB2312" w:cs="仿宋_GB2312"/>
          <w:color w:val="auto"/>
          <w:sz w:val="32"/>
          <w:szCs w:val="32"/>
          <w:highlight w:val="none"/>
          <w:lang w:eastAsia="zh-CN"/>
        </w:rPr>
        <w:t>专业</w:t>
      </w:r>
      <w:r>
        <w:rPr>
          <w:rFonts w:hint="eastAsia" w:ascii="仿宋_GB2312" w:hAnsi="仿宋_GB2312" w:eastAsia="仿宋_GB2312" w:cs="仿宋_GB2312"/>
          <w:color w:val="auto"/>
          <w:sz w:val="32"/>
          <w:szCs w:val="32"/>
          <w:highlight w:val="none"/>
        </w:rPr>
        <w:t>化中药饮片生产基地，推动饮片产业的</w:t>
      </w:r>
      <w:r>
        <w:rPr>
          <w:rFonts w:hint="eastAsia" w:ascii="仿宋_GB2312" w:hAnsi="仿宋_GB2312" w:eastAsia="仿宋_GB2312" w:cs="仿宋_GB2312"/>
          <w:color w:val="auto"/>
          <w:sz w:val="32"/>
          <w:szCs w:val="32"/>
          <w:highlight w:val="none"/>
          <w:lang w:eastAsia="zh-CN"/>
        </w:rPr>
        <w:t>快速</w:t>
      </w:r>
      <w:r>
        <w:rPr>
          <w:rFonts w:hint="eastAsia" w:ascii="仿宋_GB2312" w:hAnsi="仿宋_GB2312" w:eastAsia="仿宋_GB2312" w:cs="仿宋_GB2312"/>
          <w:color w:val="auto"/>
          <w:sz w:val="32"/>
          <w:szCs w:val="32"/>
          <w:highlight w:val="none"/>
        </w:rPr>
        <w:t>发展。</w:t>
      </w:r>
    </w:p>
    <w:p>
      <w:pPr>
        <w:keepNext w:val="0"/>
        <w:keepLines w:val="0"/>
        <w:pageBreakBefore w:val="0"/>
        <w:widowControl w:val="0"/>
        <w:kinsoku/>
        <w:wordWrap/>
        <w:overflowPunct/>
        <w:topLinePunct w:val="0"/>
        <w:bidi w:val="0"/>
        <w:adjustRightInd w:val="0"/>
        <w:snapToGrid w:val="0"/>
        <w:spacing w:line="360" w:lineRule="auto"/>
        <w:ind w:left="0" w:leftChars="0" w:right="0" w:rightChars="0" w:firstLine="643"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考核指标</w:t>
      </w:r>
      <w:r>
        <w:rPr>
          <w:rFonts w:hint="eastAsia" w:ascii="仿宋_GB2312" w:hAnsi="仿宋_GB2312" w:eastAsia="仿宋_GB2312" w:cs="仿宋_GB2312"/>
          <w:color w:val="auto"/>
          <w:sz w:val="32"/>
          <w:szCs w:val="32"/>
          <w:highlight w:val="none"/>
        </w:rPr>
        <w:t>：选择</w:t>
      </w:r>
      <w:r>
        <w:rPr>
          <w:rFonts w:hint="eastAsia" w:ascii="仿宋_GB2312" w:hAnsi="仿宋_GB2312" w:eastAsia="仿宋_GB2312" w:cs="仿宋_GB2312"/>
          <w:color w:val="auto"/>
          <w:sz w:val="32"/>
          <w:szCs w:val="32"/>
          <w:highlight w:val="none"/>
          <w:lang w:val="en-US" w:eastAsia="zh-CN"/>
        </w:rPr>
        <w:t>5</w:t>
      </w:r>
      <w:r>
        <w:rPr>
          <w:rFonts w:hint="eastAsia" w:ascii="仿宋_GB2312" w:hAnsi="仿宋_GB2312" w:eastAsia="仿宋_GB2312" w:cs="仿宋_GB2312"/>
          <w:bCs/>
          <w:color w:val="auto"/>
          <w:sz w:val="32"/>
          <w:szCs w:val="32"/>
        </w:rPr>
        <w:t>～</w:t>
      </w:r>
      <w:r>
        <w:rPr>
          <w:rFonts w:hint="eastAsia" w:ascii="仿宋_GB2312" w:hAnsi="仿宋_GB2312" w:eastAsia="仿宋_GB2312" w:cs="仿宋_GB2312"/>
          <w:color w:val="auto"/>
          <w:sz w:val="32"/>
          <w:szCs w:val="32"/>
          <w:highlight w:val="none"/>
          <w:lang w:val="en-US" w:eastAsia="zh-CN"/>
        </w:rPr>
        <w:t>6</w:t>
      </w:r>
      <w:r>
        <w:rPr>
          <w:rFonts w:hint="eastAsia" w:ascii="仿宋_GB2312" w:hAnsi="仿宋_GB2312" w:eastAsia="仿宋_GB2312" w:cs="仿宋_GB2312"/>
          <w:color w:val="auto"/>
          <w:sz w:val="32"/>
          <w:szCs w:val="32"/>
          <w:highlight w:val="none"/>
        </w:rPr>
        <w:t>个原料药材资源丰富并具有地区特色的道地产区，各建立3</w:t>
      </w:r>
      <w:r>
        <w:rPr>
          <w:rFonts w:hint="eastAsia" w:ascii="仿宋_GB2312" w:hAnsi="仿宋_GB2312" w:eastAsia="仿宋_GB2312" w:cs="仿宋_GB2312"/>
          <w:bCs/>
          <w:color w:val="auto"/>
          <w:sz w:val="32"/>
          <w:szCs w:val="32"/>
        </w:rPr>
        <w:t>～</w:t>
      </w:r>
      <w:r>
        <w:rPr>
          <w:rFonts w:hint="eastAsia" w:ascii="仿宋_GB2312" w:hAnsi="仿宋_GB2312" w:eastAsia="仿宋_GB2312" w:cs="仿宋_GB2312"/>
          <w:color w:val="auto"/>
          <w:sz w:val="32"/>
          <w:szCs w:val="32"/>
          <w:highlight w:val="none"/>
        </w:rPr>
        <w:t>5条中药饮片</w:t>
      </w:r>
      <w:r>
        <w:rPr>
          <w:rFonts w:hint="eastAsia" w:ascii="仿宋_GB2312" w:hAnsi="仿宋_GB2312" w:eastAsia="仿宋_GB2312" w:cs="仿宋_GB2312"/>
          <w:color w:val="auto"/>
          <w:sz w:val="32"/>
          <w:szCs w:val="32"/>
          <w:highlight w:val="none"/>
          <w:lang w:eastAsia="zh-CN"/>
        </w:rPr>
        <w:t>智能</w:t>
      </w:r>
      <w:r>
        <w:rPr>
          <w:rFonts w:hint="eastAsia" w:ascii="仿宋_GB2312" w:hAnsi="仿宋_GB2312" w:eastAsia="仿宋_GB2312" w:cs="仿宋_GB2312"/>
          <w:color w:val="auto"/>
          <w:sz w:val="32"/>
          <w:szCs w:val="32"/>
          <w:highlight w:val="none"/>
        </w:rPr>
        <w:t>化生产线</w:t>
      </w:r>
      <w:r>
        <w:rPr>
          <w:rFonts w:hint="eastAsia" w:ascii="仿宋_GB2312" w:hAnsi="仿宋_GB2312" w:eastAsia="仿宋_GB2312" w:cs="仿宋_GB2312"/>
          <w:color w:val="auto"/>
          <w:sz w:val="32"/>
          <w:szCs w:val="32"/>
          <w:highlight w:val="none"/>
          <w:lang w:eastAsia="zh-CN"/>
        </w:rPr>
        <w:t>，且工艺稳定，质量可控，</w:t>
      </w:r>
      <w:r>
        <w:rPr>
          <w:rFonts w:hint="eastAsia" w:ascii="仿宋_GB2312" w:hAnsi="仿宋_GB2312" w:eastAsia="仿宋_GB2312" w:cs="仿宋_GB2312"/>
          <w:color w:val="auto"/>
          <w:sz w:val="32"/>
          <w:szCs w:val="32"/>
          <w:highlight w:val="none"/>
        </w:rPr>
        <w:t>并初步搭建规模化</w:t>
      </w:r>
      <w:r>
        <w:rPr>
          <w:rFonts w:hint="eastAsia" w:ascii="仿宋_GB2312" w:hAnsi="仿宋_GB2312" w:eastAsia="仿宋_GB2312" w:cs="仿宋_GB2312"/>
          <w:color w:val="auto"/>
          <w:sz w:val="32"/>
          <w:szCs w:val="32"/>
          <w:highlight w:val="none"/>
          <w:lang w:eastAsia="zh-CN"/>
        </w:rPr>
        <w:t>、规范化和智能化</w:t>
      </w:r>
      <w:r>
        <w:rPr>
          <w:rFonts w:hint="eastAsia" w:ascii="仿宋_GB2312" w:hAnsi="仿宋_GB2312" w:eastAsia="仿宋_GB2312" w:cs="仿宋_GB2312"/>
          <w:color w:val="auto"/>
          <w:sz w:val="32"/>
          <w:szCs w:val="32"/>
          <w:highlight w:val="none"/>
        </w:rPr>
        <w:t>的饮片生产基地，向医疗单位提供优质饮片。</w:t>
      </w:r>
    </w:p>
    <w:p>
      <w:pPr>
        <w:keepNext w:val="0"/>
        <w:keepLines w:val="0"/>
        <w:pageBreakBefore w:val="0"/>
        <w:widowControl w:val="0"/>
        <w:kinsoku/>
        <w:wordWrap/>
        <w:overflowPunct/>
        <w:topLinePunct w:val="0"/>
        <w:bidi w:val="0"/>
        <w:adjustRightInd w:val="0"/>
        <w:snapToGrid w:val="0"/>
        <w:spacing w:line="360" w:lineRule="auto"/>
        <w:ind w:left="0" w:leftChars="0" w:right="0" w:rightChars="0"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支持年限：</w:t>
      </w:r>
      <w:r>
        <w:rPr>
          <w:rFonts w:hint="eastAsia" w:ascii="仿宋_GB2312" w:hAnsi="仿宋_GB2312" w:eastAsia="仿宋_GB2312" w:cs="仿宋_GB2312"/>
          <w:color w:val="auto"/>
          <w:sz w:val="32"/>
          <w:szCs w:val="32"/>
        </w:rPr>
        <w:t>201</w:t>
      </w:r>
      <w:r>
        <w:rPr>
          <w:rFonts w:hint="eastAsia" w:ascii="仿宋_GB2312" w:hAnsi="仿宋_GB2312" w:eastAsia="仿宋_GB2312" w:cs="仿宋_GB2312"/>
          <w:color w:val="auto"/>
          <w:sz w:val="32"/>
          <w:szCs w:val="32"/>
          <w:lang w:val="en-US" w:eastAsia="zh-CN"/>
        </w:rPr>
        <w:t>8—</w:t>
      </w:r>
      <w:r>
        <w:rPr>
          <w:rFonts w:hint="eastAsia" w:ascii="仿宋_GB2312" w:hAnsi="仿宋_GB2312" w:eastAsia="仿宋_GB2312" w:cs="仿宋_GB2312"/>
          <w:color w:val="auto"/>
          <w:sz w:val="32"/>
          <w:szCs w:val="32"/>
        </w:rPr>
        <w:t>202</w:t>
      </w: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rPr>
        <w:t>年</w:t>
      </w:r>
    </w:p>
    <w:p>
      <w:pPr>
        <w:keepNext w:val="0"/>
        <w:keepLines w:val="0"/>
        <w:pageBreakBefore w:val="0"/>
        <w:widowControl w:val="0"/>
        <w:kinsoku/>
        <w:wordWrap/>
        <w:overflowPunct/>
        <w:topLinePunct w:val="0"/>
        <w:bidi w:val="0"/>
        <w:adjustRightInd w:val="0"/>
        <w:snapToGrid w:val="0"/>
        <w:spacing w:line="360" w:lineRule="auto"/>
        <w:ind w:left="0" w:leftChars="0" w:right="0" w:rightChars="0"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拟支持项目数：1</w:t>
      </w:r>
      <w:r>
        <w:rPr>
          <w:rFonts w:hint="eastAsia" w:ascii="仿宋_GB2312" w:hAnsi="仿宋_GB2312" w:eastAsia="仿宋_GB2312" w:cs="仿宋_GB2312"/>
          <w:bCs/>
          <w:color w:val="auto"/>
          <w:sz w:val="32"/>
          <w:szCs w:val="32"/>
        </w:rPr>
        <w:t>～</w:t>
      </w:r>
      <w:r>
        <w:rPr>
          <w:rFonts w:hint="eastAsia" w:ascii="仿宋_GB2312" w:hAnsi="仿宋_GB2312" w:eastAsia="仿宋_GB2312" w:cs="仿宋_GB2312"/>
          <w:color w:val="auto"/>
          <w:sz w:val="32"/>
          <w:szCs w:val="32"/>
          <w:highlight w:val="none"/>
        </w:rPr>
        <w:t>2项</w:t>
      </w:r>
    </w:p>
    <w:bookmarkEnd w:id="90"/>
    <w:p>
      <w:pPr>
        <w:pStyle w:val="4"/>
        <w:keepNext w:val="0"/>
        <w:keepLines w:val="0"/>
        <w:pageBreakBefore w:val="0"/>
        <w:widowControl w:val="0"/>
        <w:kinsoku/>
        <w:wordWrap/>
        <w:overflowPunct/>
        <w:topLinePunct w:val="0"/>
        <w:bidi w:val="0"/>
        <w:adjustRightInd w:val="0"/>
        <w:snapToGrid w:val="0"/>
        <w:spacing w:before="0" w:after="0" w:line="360" w:lineRule="auto"/>
        <w:ind w:left="0" w:leftChars="0" w:right="0" w:rightChars="0" w:firstLine="643" w:firstLineChars="200"/>
        <w:textAlignment w:val="auto"/>
        <w:rPr>
          <w:rFonts w:hint="eastAsia" w:ascii="仿宋_GB2312" w:hAnsi="仿宋_GB2312" w:eastAsia="仿宋_GB2312" w:cs="仿宋_GB2312"/>
          <w:color w:val="auto"/>
          <w:sz w:val="32"/>
          <w:szCs w:val="32"/>
          <w:highlight w:val="none"/>
        </w:rPr>
      </w:pPr>
      <w:bookmarkStart w:id="91" w:name="_Toc466641327"/>
      <w:bookmarkStart w:id="92" w:name="_Toc9544"/>
      <w:r>
        <w:rPr>
          <w:rFonts w:hint="eastAsia" w:ascii="仿宋_GB2312" w:hAnsi="仿宋_GB2312" w:eastAsia="仿宋_GB2312" w:cs="仿宋_GB2312"/>
          <w:color w:val="auto"/>
          <w:sz w:val="32"/>
          <w:szCs w:val="32"/>
          <w:highlight w:val="none"/>
        </w:rPr>
        <w:t>4.3.3 特色炮制方法的工艺与设备现代化研究</w:t>
      </w:r>
    </w:p>
    <w:p>
      <w:pPr>
        <w:keepNext w:val="0"/>
        <w:keepLines w:val="0"/>
        <w:pageBreakBefore w:val="0"/>
        <w:widowControl w:val="0"/>
        <w:kinsoku/>
        <w:wordWrap/>
        <w:overflowPunct/>
        <w:topLinePunct w:val="0"/>
        <w:bidi w:val="0"/>
        <w:adjustRightInd w:val="0"/>
        <w:snapToGrid w:val="0"/>
        <w:spacing w:line="360" w:lineRule="auto"/>
        <w:ind w:left="0" w:leftChars="0" w:right="0" w:rightChars="0" w:firstLine="643"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研究内容</w:t>
      </w:r>
      <w:r>
        <w:rPr>
          <w:rFonts w:hint="eastAsia" w:ascii="仿宋_GB2312" w:hAnsi="仿宋_GB2312" w:eastAsia="仿宋_GB2312" w:cs="仿宋_GB2312"/>
          <w:color w:val="auto"/>
          <w:sz w:val="32"/>
          <w:szCs w:val="32"/>
          <w:highlight w:val="none"/>
        </w:rPr>
        <w:t>：针对传统炮制技术传承不足，工艺装备落后等问题，重点针对炙法、药汁</w:t>
      </w:r>
      <w:r>
        <w:rPr>
          <w:rFonts w:hint="eastAsia" w:ascii="仿宋_GB2312" w:hAnsi="仿宋_GB2312" w:eastAsia="仿宋_GB2312" w:cs="仿宋_GB2312"/>
          <w:color w:val="auto"/>
          <w:sz w:val="32"/>
          <w:szCs w:val="32"/>
          <w:highlight w:val="none"/>
          <w:lang w:eastAsia="zh-CN"/>
        </w:rPr>
        <w:t>炙</w:t>
      </w:r>
      <w:r>
        <w:rPr>
          <w:rFonts w:hint="eastAsia" w:ascii="仿宋_GB2312" w:hAnsi="仿宋_GB2312" w:eastAsia="仿宋_GB2312" w:cs="仿宋_GB2312"/>
          <w:color w:val="auto"/>
          <w:sz w:val="32"/>
          <w:szCs w:val="32"/>
          <w:highlight w:val="none"/>
        </w:rPr>
        <w:t>、发酵</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焖煅，九蒸九</w:t>
      </w:r>
      <w:r>
        <w:rPr>
          <w:rFonts w:hint="eastAsia" w:ascii="仿宋_GB2312" w:hAnsi="仿宋_GB2312" w:eastAsia="仿宋_GB2312" w:cs="仿宋_GB2312"/>
          <w:color w:val="auto"/>
          <w:sz w:val="32"/>
          <w:szCs w:val="32"/>
          <w:highlight w:val="none"/>
          <w:lang w:eastAsia="zh-CN"/>
        </w:rPr>
        <w:t>晒</w:t>
      </w:r>
      <w:r>
        <w:rPr>
          <w:rFonts w:hint="eastAsia" w:ascii="仿宋_GB2312" w:hAnsi="仿宋_GB2312" w:eastAsia="仿宋_GB2312" w:cs="仿宋_GB2312"/>
          <w:color w:val="auto"/>
          <w:sz w:val="32"/>
          <w:szCs w:val="32"/>
          <w:highlight w:val="none"/>
        </w:rPr>
        <w:t>等传统特色炮制技术，选择</w:t>
      </w:r>
      <w:r>
        <w:rPr>
          <w:rFonts w:hint="eastAsia" w:ascii="仿宋_GB2312" w:hAnsi="仿宋_GB2312" w:eastAsia="仿宋_GB2312" w:cs="仿宋_GB2312"/>
          <w:color w:val="auto"/>
          <w:sz w:val="32"/>
          <w:szCs w:val="32"/>
          <w:highlight w:val="none"/>
          <w:lang w:eastAsia="zh-CN"/>
        </w:rPr>
        <w:t>合适的</w:t>
      </w:r>
      <w:r>
        <w:rPr>
          <w:rFonts w:hint="eastAsia" w:ascii="仿宋_GB2312" w:hAnsi="仿宋_GB2312" w:eastAsia="仿宋_GB2312" w:cs="仿宋_GB2312"/>
          <w:color w:val="auto"/>
          <w:sz w:val="32"/>
          <w:szCs w:val="32"/>
          <w:highlight w:val="none"/>
        </w:rPr>
        <w:t>代表性品种，融合现代多学科技术方法，开展</w:t>
      </w:r>
      <w:r>
        <w:rPr>
          <w:rFonts w:hint="eastAsia" w:ascii="仿宋_GB2312" w:hAnsi="仿宋_GB2312" w:eastAsia="仿宋_GB2312" w:cs="仿宋_GB2312"/>
          <w:color w:val="auto"/>
          <w:sz w:val="32"/>
          <w:szCs w:val="32"/>
          <w:highlight w:val="none"/>
          <w:lang w:eastAsia="zh-CN"/>
        </w:rPr>
        <w:t>特色</w:t>
      </w:r>
      <w:r>
        <w:rPr>
          <w:rFonts w:hint="eastAsia" w:ascii="仿宋_GB2312" w:hAnsi="仿宋_GB2312" w:eastAsia="仿宋_GB2312" w:cs="仿宋_GB2312"/>
          <w:color w:val="auto"/>
          <w:sz w:val="32"/>
          <w:szCs w:val="32"/>
          <w:highlight w:val="none"/>
        </w:rPr>
        <w:t>炮制</w:t>
      </w:r>
      <w:r>
        <w:rPr>
          <w:rFonts w:hint="eastAsia" w:ascii="仿宋_GB2312" w:hAnsi="仿宋_GB2312" w:eastAsia="仿宋_GB2312" w:cs="仿宋_GB2312"/>
          <w:color w:val="auto"/>
          <w:sz w:val="32"/>
          <w:szCs w:val="32"/>
          <w:highlight w:val="none"/>
          <w:lang w:eastAsia="zh-CN"/>
        </w:rPr>
        <w:t>工艺现代化及</w:t>
      </w:r>
      <w:r>
        <w:rPr>
          <w:rFonts w:hint="eastAsia" w:ascii="仿宋_GB2312" w:hAnsi="仿宋_GB2312" w:eastAsia="仿宋_GB2312" w:cs="仿宋_GB2312"/>
          <w:color w:val="auto"/>
          <w:sz w:val="32"/>
          <w:szCs w:val="32"/>
          <w:highlight w:val="none"/>
        </w:rPr>
        <w:t>机理研究，初步阐释传统炮制技术的科学内涵；开展符合传统炮制技术工业化生产特点的全程质量控制技术、质量追溯技术，智能化管控等技术和配套</w:t>
      </w:r>
      <w:r>
        <w:rPr>
          <w:rFonts w:hint="eastAsia" w:ascii="仿宋_GB2312" w:hAnsi="仿宋_GB2312" w:eastAsia="仿宋_GB2312" w:cs="仿宋_GB2312"/>
          <w:color w:val="auto"/>
          <w:sz w:val="32"/>
          <w:szCs w:val="32"/>
          <w:highlight w:val="none"/>
          <w:lang w:eastAsia="zh-CN"/>
        </w:rPr>
        <w:t>设备</w:t>
      </w:r>
      <w:r>
        <w:rPr>
          <w:rFonts w:hint="eastAsia" w:ascii="仿宋_GB2312" w:hAnsi="仿宋_GB2312" w:eastAsia="仿宋_GB2312" w:cs="仿宋_GB2312"/>
          <w:color w:val="auto"/>
          <w:sz w:val="32"/>
          <w:szCs w:val="32"/>
          <w:highlight w:val="none"/>
        </w:rPr>
        <w:t>，推动特色炮制</w:t>
      </w:r>
      <w:r>
        <w:rPr>
          <w:rFonts w:hint="eastAsia" w:ascii="仿宋_GB2312" w:hAnsi="仿宋_GB2312" w:eastAsia="仿宋_GB2312" w:cs="仿宋_GB2312"/>
          <w:color w:val="auto"/>
          <w:sz w:val="32"/>
          <w:szCs w:val="32"/>
          <w:highlight w:val="none"/>
          <w:lang w:eastAsia="zh-CN"/>
        </w:rPr>
        <w:t>技术</w:t>
      </w:r>
      <w:r>
        <w:rPr>
          <w:rFonts w:hint="eastAsia" w:ascii="仿宋_GB2312" w:hAnsi="仿宋_GB2312" w:eastAsia="仿宋_GB2312" w:cs="仿宋_GB2312"/>
          <w:color w:val="auto"/>
          <w:sz w:val="32"/>
          <w:szCs w:val="32"/>
          <w:highlight w:val="none"/>
        </w:rPr>
        <w:t>的现代化</w:t>
      </w:r>
      <w:r>
        <w:rPr>
          <w:rFonts w:hint="eastAsia" w:ascii="仿宋_GB2312" w:hAnsi="仿宋_GB2312" w:eastAsia="仿宋_GB2312" w:cs="仿宋_GB2312"/>
          <w:color w:val="auto"/>
          <w:sz w:val="32"/>
          <w:szCs w:val="32"/>
          <w:highlight w:val="none"/>
          <w:lang w:eastAsia="zh-CN"/>
        </w:rPr>
        <w:t>进程</w:t>
      </w:r>
      <w:r>
        <w:rPr>
          <w:rFonts w:hint="eastAsia" w:ascii="仿宋_GB2312" w:hAnsi="仿宋_GB2312" w:eastAsia="仿宋_GB2312" w:cs="仿宋_GB2312"/>
          <w:color w:val="auto"/>
          <w:sz w:val="32"/>
          <w:szCs w:val="32"/>
          <w:highlight w:val="none"/>
        </w:rPr>
        <w:t>。</w:t>
      </w:r>
    </w:p>
    <w:p>
      <w:pPr>
        <w:keepNext w:val="0"/>
        <w:keepLines w:val="0"/>
        <w:pageBreakBefore w:val="0"/>
        <w:widowControl w:val="0"/>
        <w:kinsoku/>
        <w:wordWrap/>
        <w:overflowPunct/>
        <w:topLinePunct w:val="0"/>
        <w:bidi w:val="0"/>
        <w:adjustRightInd w:val="0"/>
        <w:snapToGrid w:val="0"/>
        <w:spacing w:line="360" w:lineRule="auto"/>
        <w:ind w:left="0" w:leftChars="0" w:right="0" w:rightChars="0" w:firstLine="643"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考核指标</w:t>
      </w:r>
      <w:r>
        <w:rPr>
          <w:rFonts w:hint="eastAsia" w:ascii="仿宋_GB2312" w:hAnsi="仿宋_GB2312" w:eastAsia="仿宋_GB2312" w:cs="仿宋_GB2312"/>
          <w:color w:val="auto"/>
          <w:sz w:val="32"/>
          <w:szCs w:val="32"/>
          <w:highlight w:val="none"/>
        </w:rPr>
        <w:t>：完成至少15种炮制技术的工业化生产工艺研究及工业化设备研制，每种技术考察2</w:t>
      </w:r>
      <w:r>
        <w:rPr>
          <w:rFonts w:hint="eastAsia" w:ascii="仿宋_GB2312" w:hAnsi="仿宋_GB2312" w:eastAsia="仿宋_GB2312" w:cs="仿宋_GB2312"/>
          <w:bCs/>
          <w:color w:val="auto"/>
          <w:sz w:val="32"/>
          <w:szCs w:val="32"/>
        </w:rPr>
        <w:t>～</w:t>
      </w:r>
      <w:r>
        <w:rPr>
          <w:rFonts w:hint="eastAsia" w:ascii="仿宋_GB2312" w:hAnsi="仿宋_GB2312" w:eastAsia="仿宋_GB2312" w:cs="仿宋_GB2312"/>
          <w:color w:val="auto"/>
          <w:sz w:val="32"/>
          <w:szCs w:val="32"/>
          <w:highlight w:val="none"/>
        </w:rPr>
        <w:t>3个品种，并评价工业化设备与传统手工加工机理的一致性，设备高效性，生产连续性、工艺稳定性和质量可控性；建立饮片符合传统质量的判别标准。</w:t>
      </w:r>
    </w:p>
    <w:p>
      <w:pPr>
        <w:keepNext w:val="0"/>
        <w:keepLines w:val="0"/>
        <w:pageBreakBefore w:val="0"/>
        <w:widowControl w:val="0"/>
        <w:kinsoku/>
        <w:wordWrap/>
        <w:overflowPunct/>
        <w:topLinePunct w:val="0"/>
        <w:bidi w:val="0"/>
        <w:adjustRightInd w:val="0"/>
        <w:snapToGrid w:val="0"/>
        <w:spacing w:line="360" w:lineRule="auto"/>
        <w:ind w:left="0" w:leftChars="0" w:right="0" w:rightChars="0"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支持年限：</w:t>
      </w:r>
      <w:r>
        <w:rPr>
          <w:rFonts w:hint="eastAsia" w:ascii="仿宋_GB2312" w:hAnsi="仿宋_GB2312" w:eastAsia="仿宋_GB2312" w:cs="仿宋_GB2312"/>
          <w:color w:val="auto"/>
          <w:sz w:val="32"/>
          <w:szCs w:val="32"/>
        </w:rPr>
        <w:t>201</w:t>
      </w:r>
      <w:r>
        <w:rPr>
          <w:rFonts w:hint="eastAsia" w:ascii="仿宋_GB2312" w:hAnsi="仿宋_GB2312" w:eastAsia="仿宋_GB2312" w:cs="仿宋_GB2312"/>
          <w:color w:val="auto"/>
          <w:sz w:val="32"/>
          <w:szCs w:val="32"/>
          <w:lang w:val="en-US" w:eastAsia="zh-CN"/>
        </w:rPr>
        <w:t>8—</w:t>
      </w:r>
      <w:r>
        <w:rPr>
          <w:rFonts w:hint="eastAsia" w:ascii="仿宋_GB2312" w:hAnsi="仿宋_GB2312" w:eastAsia="仿宋_GB2312" w:cs="仿宋_GB2312"/>
          <w:color w:val="auto"/>
          <w:sz w:val="32"/>
          <w:szCs w:val="32"/>
        </w:rPr>
        <w:t>202</w:t>
      </w: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rPr>
        <w:t>年</w:t>
      </w:r>
    </w:p>
    <w:p>
      <w:pPr>
        <w:keepNext w:val="0"/>
        <w:keepLines w:val="0"/>
        <w:pageBreakBefore w:val="0"/>
        <w:widowControl w:val="0"/>
        <w:kinsoku/>
        <w:wordWrap/>
        <w:overflowPunct/>
        <w:topLinePunct w:val="0"/>
        <w:bidi w:val="0"/>
        <w:adjustRightInd w:val="0"/>
        <w:snapToGrid w:val="0"/>
        <w:spacing w:line="360" w:lineRule="auto"/>
        <w:ind w:left="0" w:leftChars="0" w:right="0" w:rightChars="0" w:firstLine="640" w:firstLineChars="20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color w:val="auto"/>
          <w:sz w:val="32"/>
          <w:szCs w:val="32"/>
          <w:highlight w:val="none"/>
        </w:rPr>
        <w:t>拟支持项目数：1</w:t>
      </w:r>
      <w:r>
        <w:rPr>
          <w:rFonts w:hint="eastAsia" w:ascii="仿宋_GB2312" w:hAnsi="仿宋_GB2312" w:eastAsia="仿宋_GB2312" w:cs="仿宋_GB2312"/>
          <w:bCs/>
          <w:color w:val="auto"/>
          <w:sz w:val="32"/>
          <w:szCs w:val="32"/>
        </w:rPr>
        <w:t>～</w:t>
      </w:r>
      <w:r>
        <w:rPr>
          <w:rFonts w:hint="eastAsia" w:ascii="仿宋_GB2312" w:hAnsi="仿宋_GB2312" w:eastAsia="仿宋_GB2312" w:cs="仿宋_GB2312"/>
          <w:color w:val="auto"/>
          <w:sz w:val="32"/>
          <w:szCs w:val="32"/>
          <w:highlight w:val="none"/>
        </w:rPr>
        <w:t>2项</w:t>
      </w:r>
    </w:p>
    <w:p>
      <w:pPr>
        <w:keepNext w:val="0"/>
        <w:keepLines w:val="0"/>
        <w:pageBreakBefore w:val="0"/>
        <w:widowControl w:val="0"/>
        <w:kinsoku/>
        <w:wordWrap/>
        <w:overflowPunct/>
        <w:topLinePunct w:val="0"/>
        <w:bidi w:val="0"/>
        <w:adjustRightInd w:val="0"/>
        <w:snapToGrid w:val="0"/>
        <w:spacing w:line="360" w:lineRule="auto"/>
        <w:ind w:left="0" w:leftChars="0" w:right="0" w:rightChars="0" w:firstLine="643" w:firstLineChars="200"/>
        <w:textAlignment w:val="auto"/>
        <w:rPr>
          <w:rFonts w:hint="eastAsia" w:ascii="仿宋_GB2312" w:hAnsi="仿宋_GB2312" w:eastAsia="仿宋_GB2312" w:cs="仿宋_GB2312"/>
          <w:b/>
          <w:bCs/>
          <w:color w:val="auto"/>
          <w:sz w:val="32"/>
          <w:szCs w:val="32"/>
        </w:rPr>
      </w:pPr>
      <w:r>
        <w:rPr>
          <w:rFonts w:hint="eastAsia" w:ascii="仿宋_GB2312" w:hAnsi="仿宋_GB2312" w:eastAsia="仿宋_GB2312" w:cs="仿宋_GB2312"/>
          <w:b/>
          <w:bCs/>
          <w:color w:val="auto"/>
          <w:sz w:val="32"/>
          <w:szCs w:val="32"/>
        </w:rPr>
        <w:t>4.3.</w:t>
      </w:r>
      <w:r>
        <w:rPr>
          <w:rFonts w:hint="eastAsia" w:ascii="仿宋_GB2312" w:hAnsi="仿宋_GB2312" w:eastAsia="仿宋_GB2312" w:cs="仿宋_GB2312"/>
          <w:b/>
          <w:bCs/>
          <w:color w:val="auto"/>
          <w:sz w:val="32"/>
          <w:szCs w:val="32"/>
          <w:lang w:val="en-US" w:eastAsia="zh-CN"/>
        </w:rPr>
        <w:t>4</w:t>
      </w:r>
      <w:r>
        <w:rPr>
          <w:rFonts w:hint="eastAsia" w:ascii="仿宋_GB2312" w:hAnsi="仿宋_GB2312" w:eastAsia="仿宋_GB2312" w:cs="仿宋_GB2312"/>
          <w:b/>
          <w:bCs/>
          <w:color w:val="auto"/>
          <w:sz w:val="32"/>
          <w:szCs w:val="32"/>
        </w:rPr>
        <w:t>中成药整体性质量控制技术研究</w:t>
      </w:r>
      <w:bookmarkEnd w:id="91"/>
      <w:bookmarkEnd w:id="92"/>
    </w:p>
    <w:p>
      <w:pPr>
        <w:keepNext w:val="0"/>
        <w:keepLines w:val="0"/>
        <w:pageBreakBefore w:val="0"/>
        <w:widowControl w:val="0"/>
        <w:kinsoku/>
        <w:wordWrap/>
        <w:overflowPunct/>
        <w:topLinePunct w:val="0"/>
        <w:bidi w:val="0"/>
        <w:adjustRightInd w:val="0"/>
        <w:snapToGrid w:val="0"/>
        <w:spacing w:line="360" w:lineRule="auto"/>
        <w:ind w:left="0" w:leftChars="0" w:right="0" w:rightChars="0" w:firstLine="643"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rPr>
        <w:t>研究内容</w:t>
      </w:r>
      <w:r>
        <w:rPr>
          <w:rFonts w:hint="eastAsia" w:ascii="仿宋_GB2312" w:hAnsi="仿宋_GB2312" w:eastAsia="仿宋_GB2312" w:cs="仿宋_GB2312"/>
          <w:color w:val="auto"/>
          <w:sz w:val="32"/>
          <w:szCs w:val="32"/>
        </w:rPr>
        <w:t>：以中成药大品种为研究对象，开展中成药组合质量评价新技术和新方法的研究，建立多指标整体质量控制技术，改变单纯以“有效成分”等指标建立中药质控标准的模式，建立中成药中贵细药、毒性或有毒药的质量控制技术，探索生物效应指标和活性自检色谱分离系统用于控制中药质量的技术；探索指纹图谱、中药“溶出度”、DNA身份证等评价中药批间质量一致性技术。</w:t>
      </w:r>
    </w:p>
    <w:p>
      <w:pPr>
        <w:keepNext w:val="0"/>
        <w:keepLines w:val="0"/>
        <w:pageBreakBefore w:val="0"/>
        <w:widowControl w:val="0"/>
        <w:kinsoku/>
        <w:wordWrap/>
        <w:overflowPunct/>
        <w:topLinePunct w:val="0"/>
        <w:bidi w:val="0"/>
        <w:adjustRightInd w:val="0"/>
        <w:snapToGrid w:val="0"/>
        <w:spacing w:line="360" w:lineRule="auto"/>
        <w:ind w:left="0" w:leftChars="0" w:right="0" w:rightChars="0" w:firstLine="643"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rPr>
        <w:t>考核指标</w:t>
      </w:r>
      <w:r>
        <w:rPr>
          <w:rFonts w:hint="eastAsia" w:ascii="仿宋_GB2312" w:hAnsi="仿宋_GB2312" w:eastAsia="仿宋_GB2312" w:cs="仿宋_GB2312"/>
          <w:color w:val="auto"/>
          <w:sz w:val="32"/>
          <w:szCs w:val="32"/>
        </w:rPr>
        <w:t>：制定20</w:t>
      </w:r>
      <w:r>
        <w:rPr>
          <w:rFonts w:hint="eastAsia" w:ascii="仿宋_GB2312" w:hAnsi="仿宋_GB2312" w:eastAsia="仿宋_GB2312" w:cs="仿宋_GB2312"/>
          <w:bCs/>
          <w:color w:val="auto"/>
          <w:sz w:val="32"/>
          <w:szCs w:val="32"/>
        </w:rPr>
        <w:t>～</w:t>
      </w:r>
      <w:r>
        <w:rPr>
          <w:rFonts w:hint="eastAsia" w:ascii="仿宋_GB2312" w:hAnsi="仿宋_GB2312" w:eastAsia="仿宋_GB2312" w:cs="仿宋_GB2312"/>
          <w:color w:val="auto"/>
          <w:sz w:val="32"/>
          <w:szCs w:val="32"/>
        </w:rPr>
        <w:t>30种中成药大品种的质量评价标准，建立20</w:t>
      </w:r>
      <w:r>
        <w:rPr>
          <w:rFonts w:hint="eastAsia" w:ascii="仿宋_GB2312" w:hAnsi="仿宋_GB2312" w:eastAsia="仿宋_GB2312" w:cs="仿宋_GB2312"/>
          <w:bCs/>
          <w:color w:val="auto"/>
          <w:sz w:val="32"/>
          <w:szCs w:val="32"/>
        </w:rPr>
        <w:t>～</w:t>
      </w:r>
      <w:r>
        <w:rPr>
          <w:rFonts w:hint="eastAsia" w:ascii="仿宋_GB2312" w:hAnsi="仿宋_GB2312" w:eastAsia="仿宋_GB2312" w:cs="仿宋_GB2312"/>
          <w:color w:val="auto"/>
          <w:sz w:val="32"/>
          <w:szCs w:val="32"/>
        </w:rPr>
        <w:t>30种中成药品种中贵细药、毒性或有毒药的质量控制技术；完成中成药批间质量一致性评价、多指标整体质量控制技术体系。</w:t>
      </w:r>
    </w:p>
    <w:p>
      <w:pPr>
        <w:keepNext w:val="0"/>
        <w:keepLines w:val="0"/>
        <w:pageBreakBefore w:val="0"/>
        <w:widowControl w:val="0"/>
        <w:kinsoku/>
        <w:wordWrap/>
        <w:overflowPunct/>
        <w:topLinePunct w:val="0"/>
        <w:bidi w:val="0"/>
        <w:adjustRightInd w:val="0"/>
        <w:snapToGrid w:val="0"/>
        <w:spacing w:line="360" w:lineRule="auto"/>
        <w:ind w:left="0" w:leftChars="0" w:right="0" w:rightChars="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支持年限：201</w:t>
      </w:r>
      <w:r>
        <w:rPr>
          <w:rFonts w:hint="eastAsia" w:ascii="仿宋_GB2312" w:hAnsi="仿宋_GB2312" w:eastAsia="仿宋_GB2312" w:cs="仿宋_GB2312"/>
          <w:color w:val="auto"/>
          <w:sz w:val="32"/>
          <w:szCs w:val="32"/>
          <w:lang w:val="en-US" w:eastAsia="zh-CN"/>
        </w:rPr>
        <w:t>8—</w:t>
      </w:r>
      <w:r>
        <w:rPr>
          <w:rFonts w:hint="eastAsia" w:ascii="仿宋_GB2312" w:hAnsi="仿宋_GB2312" w:eastAsia="仿宋_GB2312" w:cs="仿宋_GB2312"/>
          <w:color w:val="auto"/>
          <w:sz w:val="32"/>
          <w:szCs w:val="32"/>
        </w:rPr>
        <w:t>202</w:t>
      </w: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rPr>
        <w:t>年</w:t>
      </w:r>
    </w:p>
    <w:p>
      <w:pPr>
        <w:keepNext w:val="0"/>
        <w:keepLines w:val="0"/>
        <w:pageBreakBefore w:val="0"/>
        <w:widowControl w:val="0"/>
        <w:kinsoku/>
        <w:wordWrap/>
        <w:overflowPunct/>
        <w:topLinePunct w:val="0"/>
        <w:bidi w:val="0"/>
        <w:adjustRightInd w:val="0"/>
        <w:snapToGrid w:val="0"/>
        <w:spacing w:line="360" w:lineRule="auto"/>
        <w:ind w:left="0" w:leftChars="0" w:right="0" w:rightChars="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拟支持项目数：1</w:t>
      </w:r>
      <w:r>
        <w:rPr>
          <w:rFonts w:hint="eastAsia" w:ascii="仿宋_GB2312" w:hAnsi="仿宋_GB2312" w:eastAsia="仿宋_GB2312" w:cs="仿宋_GB2312"/>
          <w:bCs/>
          <w:color w:val="auto"/>
          <w:sz w:val="32"/>
          <w:szCs w:val="32"/>
        </w:rPr>
        <w:t>～</w:t>
      </w:r>
      <w:r>
        <w:rPr>
          <w:rFonts w:hint="eastAsia" w:ascii="仿宋_GB2312" w:hAnsi="仿宋_GB2312" w:eastAsia="仿宋_GB2312" w:cs="仿宋_GB2312"/>
          <w:color w:val="auto"/>
          <w:sz w:val="32"/>
          <w:szCs w:val="32"/>
        </w:rPr>
        <w:t>2项</w:t>
      </w:r>
    </w:p>
    <w:bookmarkEnd w:id="75"/>
    <w:p>
      <w:pPr>
        <w:pStyle w:val="3"/>
        <w:keepNext w:val="0"/>
        <w:keepLines w:val="0"/>
        <w:pageBreakBefore w:val="0"/>
        <w:widowControl w:val="0"/>
        <w:kinsoku/>
        <w:wordWrap/>
        <w:overflowPunct/>
        <w:topLinePunct w:val="0"/>
        <w:bidi w:val="0"/>
        <w:adjustRightInd w:val="0"/>
        <w:snapToGrid w:val="0"/>
        <w:spacing w:before="0" w:after="0" w:line="360" w:lineRule="auto"/>
        <w:ind w:left="0" w:leftChars="0" w:right="0" w:rightChars="0" w:firstLine="643" w:firstLineChars="200"/>
        <w:textAlignment w:val="auto"/>
        <w:rPr>
          <w:rFonts w:hint="eastAsia" w:ascii="仿宋_GB2312" w:hAnsi="仿宋_GB2312" w:eastAsia="仿宋_GB2312" w:cs="仿宋_GB2312"/>
          <w:color w:val="auto"/>
          <w:sz w:val="32"/>
          <w:szCs w:val="32"/>
        </w:rPr>
      </w:pPr>
      <w:bookmarkStart w:id="93" w:name="sub2029570_4_3"/>
      <w:bookmarkEnd w:id="93"/>
      <w:bookmarkStart w:id="94" w:name="4_3"/>
      <w:bookmarkEnd w:id="94"/>
      <w:bookmarkStart w:id="95" w:name="解析_心身健康的三个目标"/>
      <w:bookmarkEnd w:id="95"/>
      <w:bookmarkStart w:id="96" w:name="_Toc466641331"/>
      <w:bookmarkStart w:id="97" w:name="_Toc1476"/>
      <w:bookmarkStart w:id="98" w:name="_Toc446308748"/>
      <w:bookmarkStart w:id="99" w:name="_Toc459121009"/>
      <w:bookmarkStart w:id="100" w:name="_Toc450029736"/>
      <w:r>
        <w:rPr>
          <w:rFonts w:hint="eastAsia" w:ascii="仿宋_GB2312" w:hAnsi="仿宋_GB2312" w:eastAsia="仿宋_GB2312" w:cs="仿宋_GB2312"/>
          <w:color w:val="auto"/>
          <w:sz w:val="32"/>
          <w:szCs w:val="32"/>
        </w:rPr>
        <w:t>4.5中医诊断与数据采集设备研发关键技术研究</w:t>
      </w:r>
      <w:bookmarkEnd w:id="96"/>
      <w:bookmarkEnd w:id="97"/>
    </w:p>
    <w:p>
      <w:pPr>
        <w:pStyle w:val="4"/>
        <w:keepNext w:val="0"/>
        <w:keepLines w:val="0"/>
        <w:pageBreakBefore w:val="0"/>
        <w:widowControl w:val="0"/>
        <w:kinsoku/>
        <w:wordWrap/>
        <w:overflowPunct/>
        <w:topLinePunct w:val="0"/>
        <w:bidi w:val="0"/>
        <w:adjustRightInd w:val="0"/>
        <w:snapToGrid w:val="0"/>
        <w:spacing w:before="0" w:after="0" w:line="360" w:lineRule="auto"/>
        <w:ind w:left="0" w:leftChars="0" w:right="0" w:rightChars="0" w:firstLine="643" w:firstLineChars="200"/>
        <w:textAlignment w:val="auto"/>
        <w:rPr>
          <w:rFonts w:hint="eastAsia" w:ascii="仿宋_GB2312" w:hAnsi="仿宋_GB2312" w:eastAsia="仿宋_GB2312" w:cs="仿宋_GB2312"/>
          <w:color w:val="auto"/>
          <w:sz w:val="32"/>
          <w:szCs w:val="32"/>
          <w:highlight w:val="yellow"/>
        </w:rPr>
      </w:pPr>
      <w:bookmarkStart w:id="101" w:name="_Toc12778"/>
      <w:bookmarkStart w:id="102" w:name="_Toc341281850"/>
      <w:bookmarkStart w:id="103" w:name="_Toc27731"/>
      <w:bookmarkStart w:id="104" w:name="_Toc466641332"/>
      <w:r>
        <w:rPr>
          <w:rFonts w:hint="eastAsia" w:ascii="仿宋_GB2312" w:hAnsi="仿宋_GB2312" w:eastAsia="仿宋_GB2312" w:cs="仿宋_GB2312"/>
          <w:color w:val="auto"/>
          <w:sz w:val="32"/>
          <w:szCs w:val="32"/>
        </w:rPr>
        <w:t>4.5.1智能化脉诊仪设备研发</w:t>
      </w:r>
      <w:bookmarkEnd w:id="101"/>
      <w:bookmarkEnd w:id="102"/>
      <w:bookmarkEnd w:id="103"/>
    </w:p>
    <w:p>
      <w:pPr>
        <w:keepNext w:val="0"/>
        <w:keepLines w:val="0"/>
        <w:pageBreakBefore w:val="0"/>
        <w:widowControl w:val="0"/>
        <w:kinsoku/>
        <w:wordWrap/>
        <w:overflowPunct/>
        <w:topLinePunct w:val="0"/>
        <w:bidi w:val="0"/>
        <w:adjustRightInd w:val="0"/>
        <w:snapToGrid w:val="0"/>
        <w:spacing w:line="360" w:lineRule="auto"/>
        <w:ind w:left="0" w:leftChars="0" w:right="0" w:rightChars="0" w:firstLine="643"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rPr>
        <w:t>研究内容</w:t>
      </w:r>
      <w:r>
        <w:rPr>
          <w:rFonts w:hint="eastAsia" w:ascii="仿宋_GB2312" w:hAnsi="仿宋_GB2312" w:eastAsia="仿宋_GB2312" w:cs="仿宋_GB2312"/>
          <w:color w:val="auto"/>
          <w:sz w:val="32"/>
          <w:szCs w:val="32"/>
        </w:rPr>
        <w:t>：开发系列新型智能化脉诊仪等中医诊断设备，重点研究其信息采集、识别、处理与分析方法和相应的标准规范，建立典型疾病或重大疾病的中医诊断模式及相应脉诊病例库，构建基于新型智能化脉诊仪的现代化中医诊断体系和平台，实现脉诊等的工程化、智能化并进行临床应用评价。</w:t>
      </w:r>
    </w:p>
    <w:p>
      <w:pPr>
        <w:keepNext w:val="0"/>
        <w:keepLines w:val="0"/>
        <w:pageBreakBefore w:val="0"/>
        <w:widowControl w:val="0"/>
        <w:kinsoku/>
        <w:wordWrap/>
        <w:overflowPunct/>
        <w:topLinePunct w:val="0"/>
        <w:bidi w:val="0"/>
        <w:adjustRightInd w:val="0"/>
        <w:snapToGrid w:val="0"/>
        <w:spacing w:line="360" w:lineRule="auto"/>
        <w:ind w:left="0" w:leftChars="0" w:right="0" w:rightChars="0" w:firstLine="643"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rPr>
        <w:t>考核指标</w:t>
      </w:r>
      <w:r>
        <w:rPr>
          <w:rFonts w:hint="eastAsia" w:ascii="仿宋_GB2312" w:hAnsi="仿宋_GB2312" w:eastAsia="仿宋_GB2312" w:cs="仿宋_GB2312"/>
          <w:color w:val="auto"/>
          <w:sz w:val="32"/>
          <w:szCs w:val="32"/>
        </w:rPr>
        <w:t>：完成新型智能化脉诊仪等中医诊断设备新产品研发并获得医疗器械注册证，建立基于中医脉诊等的疾病诊断技术平台，形成中医脉诊设备及其信息采集、识别与处理分析的行业标准规范，建立不少于5万例的脉诊信息与其相应的病例资料数据库，形成脉诊等现代工程化技术和数据分析挖掘平台。</w:t>
      </w:r>
    </w:p>
    <w:p>
      <w:pPr>
        <w:keepNext w:val="0"/>
        <w:keepLines w:val="0"/>
        <w:pageBreakBefore w:val="0"/>
        <w:widowControl w:val="0"/>
        <w:kinsoku/>
        <w:wordWrap/>
        <w:overflowPunct/>
        <w:topLinePunct w:val="0"/>
        <w:bidi w:val="0"/>
        <w:adjustRightInd w:val="0"/>
        <w:snapToGrid w:val="0"/>
        <w:spacing w:line="360" w:lineRule="auto"/>
        <w:ind w:left="0" w:leftChars="0" w:right="0" w:rightChars="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CN"/>
        </w:rPr>
        <w:t>实施</w:t>
      </w:r>
      <w:r>
        <w:rPr>
          <w:rFonts w:hint="eastAsia" w:ascii="仿宋_GB2312" w:hAnsi="仿宋_GB2312" w:eastAsia="仿宋_GB2312" w:cs="仿宋_GB2312"/>
          <w:color w:val="auto"/>
          <w:sz w:val="32"/>
          <w:szCs w:val="32"/>
        </w:rPr>
        <w:t>年限：201</w:t>
      </w:r>
      <w:r>
        <w:rPr>
          <w:rFonts w:hint="eastAsia" w:ascii="仿宋_GB2312" w:hAnsi="仿宋_GB2312" w:eastAsia="仿宋_GB2312" w:cs="仿宋_GB2312"/>
          <w:color w:val="auto"/>
          <w:sz w:val="32"/>
          <w:szCs w:val="32"/>
          <w:lang w:val="en-US" w:eastAsia="zh-CN"/>
        </w:rPr>
        <w:t>8</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202</w:t>
      </w: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rPr>
        <w:t>年</w:t>
      </w:r>
    </w:p>
    <w:p>
      <w:pPr>
        <w:keepNext w:val="0"/>
        <w:keepLines w:val="0"/>
        <w:pageBreakBefore w:val="0"/>
        <w:widowControl w:val="0"/>
        <w:kinsoku/>
        <w:wordWrap/>
        <w:overflowPunct/>
        <w:topLinePunct w:val="0"/>
        <w:bidi w:val="0"/>
        <w:adjustRightInd w:val="0"/>
        <w:snapToGrid w:val="0"/>
        <w:spacing w:line="360" w:lineRule="auto"/>
        <w:ind w:left="0" w:leftChars="0" w:right="0" w:rightChars="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拟支持项目数：</w:t>
      </w: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bCs/>
          <w:color w:val="auto"/>
          <w:sz w:val="32"/>
          <w:szCs w:val="32"/>
        </w:rPr>
        <w:t>～</w:t>
      </w:r>
      <w:r>
        <w:rPr>
          <w:rFonts w:hint="eastAsia" w:ascii="仿宋_GB2312" w:hAnsi="仿宋_GB2312" w:eastAsia="仿宋_GB2312" w:cs="仿宋_GB2312"/>
          <w:color w:val="auto"/>
          <w:sz w:val="32"/>
          <w:szCs w:val="32"/>
        </w:rPr>
        <w:t>2项</w:t>
      </w:r>
    </w:p>
    <w:p>
      <w:pPr>
        <w:keepNext w:val="0"/>
        <w:keepLines w:val="0"/>
        <w:pageBreakBefore w:val="0"/>
        <w:widowControl w:val="0"/>
        <w:kinsoku/>
        <w:wordWrap/>
        <w:overflowPunct/>
        <w:topLinePunct w:val="0"/>
        <w:bidi w:val="0"/>
        <w:adjustRightInd w:val="0"/>
        <w:snapToGrid w:val="0"/>
        <w:spacing w:line="360" w:lineRule="auto"/>
        <w:ind w:left="0" w:leftChars="0" w:right="0" w:rightChars="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有关说明：鼓励产学研结合，其他经费</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包括地方财政经费、单位出资及社会渠道资金等</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与中央财政经费比例不低于2:1。</w:t>
      </w:r>
      <w:bookmarkEnd w:id="104"/>
    </w:p>
    <w:p>
      <w:pPr>
        <w:pStyle w:val="4"/>
        <w:keepNext w:val="0"/>
        <w:keepLines w:val="0"/>
        <w:pageBreakBefore w:val="0"/>
        <w:widowControl w:val="0"/>
        <w:kinsoku/>
        <w:wordWrap/>
        <w:overflowPunct/>
        <w:topLinePunct w:val="0"/>
        <w:bidi w:val="0"/>
        <w:adjustRightInd w:val="0"/>
        <w:snapToGrid w:val="0"/>
        <w:spacing w:before="0" w:after="0" w:line="360" w:lineRule="auto"/>
        <w:ind w:left="0" w:leftChars="0" w:right="0" w:rightChars="0" w:firstLine="643" w:firstLineChars="200"/>
        <w:textAlignment w:val="auto"/>
        <w:rPr>
          <w:rFonts w:hint="eastAsia" w:ascii="仿宋_GB2312" w:hAnsi="仿宋_GB2312" w:eastAsia="仿宋_GB2312" w:cs="仿宋_GB2312"/>
          <w:color w:val="auto"/>
          <w:sz w:val="32"/>
          <w:szCs w:val="32"/>
        </w:rPr>
      </w:pPr>
      <w:bookmarkStart w:id="105" w:name="_Toc30099"/>
      <w:bookmarkStart w:id="106" w:name="_Toc466641333"/>
      <w:r>
        <w:rPr>
          <w:rFonts w:hint="eastAsia" w:ascii="仿宋_GB2312" w:hAnsi="仿宋_GB2312" w:eastAsia="仿宋_GB2312" w:cs="仿宋_GB2312"/>
          <w:color w:val="auto"/>
          <w:sz w:val="32"/>
          <w:szCs w:val="32"/>
        </w:rPr>
        <w:t>4.5.2家庭或个人用便携式健康数据采集设备关键技术研究</w:t>
      </w:r>
      <w:bookmarkEnd w:id="105"/>
      <w:bookmarkEnd w:id="106"/>
    </w:p>
    <w:p>
      <w:pPr>
        <w:keepNext w:val="0"/>
        <w:keepLines w:val="0"/>
        <w:pageBreakBefore w:val="0"/>
        <w:widowControl w:val="0"/>
        <w:kinsoku/>
        <w:wordWrap/>
        <w:overflowPunct/>
        <w:topLinePunct w:val="0"/>
        <w:bidi w:val="0"/>
        <w:adjustRightInd w:val="0"/>
        <w:snapToGrid w:val="0"/>
        <w:spacing w:line="360" w:lineRule="auto"/>
        <w:ind w:left="0" w:leftChars="0" w:right="0" w:rightChars="0" w:firstLine="643"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rPr>
        <w:t>研究内容</w:t>
      </w:r>
      <w:r>
        <w:rPr>
          <w:rFonts w:hint="eastAsia" w:ascii="仿宋_GB2312" w:hAnsi="仿宋_GB2312" w:eastAsia="仿宋_GB2312" w:cs="仿宋_GB2312"/>
          <w:bCs/>
          <w:color w:val="auto"/>
          <w:sz w:val="32"/>
          <w:szCs w:val="32"/>
        </w:rPr>
        <w:t>：</w:t>
      </w:r>
      <w:r>
        <w:rPr>
          <w:rFonts w:hint="eastAsia" w:ascii="仿宋_GB2312" w:hAnsi="仿宋_GB2312" w:eastAsia="仿宋_GB2312" w:cs="仿宋_GB2312"/>
          <w:color w:val="auto"/>
          <w:sz w:val="32"/>
          <w:szCs w:val="32"/>
        </w:rPr>
        <w:t xml:space="preserve">以研发便于操作使用、适于家庭或个人的中医健康检测、监测数据采集设备为目的，开展便携式自动化、智能化中医健康数据采集关键技术方法研究，研制家庭或个人用的移动便携式、可穿戴中医健康数据采集产品核心部件和整机设备。 </w:t>
      </w:r>
    </w:p>
    <w:p>
      <w:pPr>
        <w:keepNext w:val="0"/>
        <w:keepLines w:val="0"/>
        <w:pageBreakBefore w:val="0"/>
        <w:widowControl w:val="0"/>
        <w:kinsoku/>
        <w:wordWrap/>
        <w:overflowPunct/>
        <w:topLinePunct w:val="0"/>
        <w:bidi w:val="0"/>
        <w:adjustRightInd w:val="0"/>
        <w:snapToGrid w:val="0"/>
        <w:spacing w:line="360" w:lineRule="auto"/>
        <w:ind w:left="0" w:leftChars="0" w:right="0" w:rightChars="0" w:firstLine="643"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rPr>
        <w:t>考核指标</w:t>
      </w:r>
      <w:r>
        <w:rPr>
          <w:rFonts w:hint="eastAsia" w:ascii="仿宋_GB2312" w:hAnsi="仿宋_GB2312" w:eastAsia="仿宋_GB2312" w:cs="仿宋_GB2312"/>
          <w:bCs/>
          <w:color w:val="auto"/>
          <w:sz w:val="32"/>
          <w:szCs w:val="32"/>
        </w:rPr>
        <w:t>：</w:t>
      </w:r>
      <w:r>
        <w:rPr>
          <w:rFonts w:hint="eastAsia" w:ascii="仿宋_GB2312" w:hAnsi="仿宋_GB2312" w:eastAsia="仿宋_GB2312" w:cs="仿宋_GB2312"/>
          <w:color w:val="auto"/>
          <w:sz w:val="32"/>
          <w:szCs w:val="32"/>
        </w:rPr>
        <w:t>研发3</w:t>
      </w:r>
      <w:r>
        <w:rPr>
          <w:rFonts w:hint="eastAsia" w:ascii="仿宋_GB2312" w:hAnsi="仿宋_GB2312" w:eastAsia="仿宋_GB2312" w:cs="仿宋_GB2312"/>
          <w:bCs/>
          <w:color w:val="auto"/>
          <w:sz w:val="32"/>
          <w:szCs w:val="32"/>
        </w:rPr>
        <w:t>～</w:t>
      </w:r>
      <w:r>
        <w:rPr>
          <w:rFonts w:hint="eastAsia" w:ascii="仿宋_GB2312" w:hAnsi="仿宋_GB2312" w:eastAsia="仿宋_GB2312" w:cs="仿宋_GB2312"/>
          <w:color w:val="auto"/>
          <w:sz w:val="32"/>
          <w:szCs w:val="32"/>
        </w:rPr>
        <w:t>5项便携式中医健康数据采集设备，申报2</w:t>
      </w:r>
      <w:r>
        <w:rPr>
          <w:rFonts w:hint="eastAsia" w:ascii="仿宋_GB2312" w:hAnsi="仿宋_GB2312" w:eastAsia="仿宋_GB2312" w:cs="仿宋_GB2312"/>
          <w:bCs/>
          <w:color w:val="auto"/>
          <w:sz w:val="32"/>
          <w:szCs w:val="32"/>
        </w:rPr>
        <w:t>～</w:t>
      </w:r>
      <w:r>
        <w:rPr>
          <w:rFonts w:hint="eastAsia" w:ascii="仿宋_GB2312" w:hAnsi="仿宋_GB2312" w:eastAsia="仿宋_GB2312" w:cs="仿宋_GB2312"/>
          <w:color w:val="auto"/>
          <w:sz w:val="32"/>
          <w:szCs w:val="32"/>
        </w:rPr>
        <w:t>3项医疗器械注册证，获得3</w:t>
      </w:r>
      <w:r>
        <w:rPr>
          <w:rFonts w:hint="eastAsia" w:ascii="仿宋_GB2312" w:hAnsi="仿宋_GB2312" w:eastAsia="仿宋_GB2312" w:cs="仿宋_GB2312"/>
          <w:bCs/>
          <w:color w:val="auto"/>
          <w:sz w:val="32"/>
          <w:szCs w:val="32"/>
        </w:rPr>
        <w:t>～</w:t>
      </w:r>
      <w:r>
        <w:rPr>
          <w:rFonts w:hint="eastAsia" w:ascii="仿宋_GB2312" w:hAnsi="仿宋_GB2312" w:eastAsia="仿宋_GB2312" w:cs="仿宋_GB2312"/>
          <w:color w:val="auto"/>
          <w:sz w:val="32"/>
          <w:szCs w:val="32"/>
        </w:rPr>
        <w:t>4项国家授权发明专利、3</w:t>
      </w:r>
      <w:r>
        <w:rPr>
          <w:rFonts w:hint="eastAsia" w:ascii="仿宋_GB2312" w:hAnsi="仿宋_GB2312" w:eastAsia="仿宋_GB2312" w:cs="仿宋_GB2312"/>
          <w:bCs/>
          <w:color w:val="auto"/>
          <w:sz w:val="32"/>
          <w:szCs w:val="32"/>
        </w:rPr>
        <w:t>～</w:t>
      </w:r>
      <w:r>
        <w:rPr>
          <w:rFonts w:hint="eastAsia" w:ascii="仿宋_GB2312" w:hAnsi="仿宋_GB2312" w:eastAsia="仿宋_GB2312" w:cs="仿宋_GB2312"/>
          <w:color w:val="auto"/>
          <w:sz w:val="32"/>
          <w:szCs w:val="32"/>
        </w:rPr>
        <w:t xml:space="preserve">5项实用新型专利，相关产品要取得食药监部门认可的第三方医疗器械检验机构的检测报告，完成注册前的临床验证。 </w:t>
      </w:r>
    </w:p>
    <w:p>
      <w:pPr>
        <w:keepNext w:val="0"/>
        <w:keepLines w:val="0"/>
        <w:pageBreakBefore w:val="0"/>
        <w:widowControl w:val="0"/>
        <w:kinsoku/>
        <w:wordWrap/>
        <w:overflowPunct/>
        <w:topLinePunct w:val="0"/>
        <w:bidi w:val="0"/>
        <w:adjustRightInd w:val="0"/>
        <w:snapToGrid w:val="0"/>
        <w:spacing w:line="360" w:lineRule="auto"/>
        <w:ind w:left="0" w:leftChars="0" w:right="0" w:rightChars="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支持年限：201</w:t>
      </w:r>
      <w:r>
        <w:rPr>
          <w:rFonts w:hint="eastAsia" w:ascii="仿宋_GB2312" w:hAnsi="仿宋_GB2312" w:eastAsia="仿宋_GB2312" w:cs="仿宋_GB2312"/>
          <w:color w:val="auto"/>
          <w:sz w:val="32"/>
          <w:szCs w:val="32"/>
          <w:lang w:val="en-US" w:eastAsia="zh-CN"/>
        </w:rPr>
        <w:t>8—</w:t>
      </w:r>
      <w:r>
        <w:rPr>
          <w:rFonts w:hint="eastAsia" w:ascii="仿宋_GB2312" w:hAnsi="仿宋_GB2312" w:eastAsia="仿宋_GB2312" w:cs="仿宋_GB2312"/>
          <w:color w:val="auto"/>
          <w:sz w:val="32"/>
          <w:szCs w:val="32"/>
        </w:rPr>
        <w:t>202</w:t>
      </w: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rPr>
        <w:t>年</w:t>
      </w:r>
    </w:p>
    <w:p>
      <w:pPr>
        <w:keepNext w:val="0"/>
        <w:keepLines w:val="0"/>
        <w:pageBreakBefore w:val="0"/>
        <w:widowControl w:val="0"/>
        <w:kinsoku/>
        <w:wordWrap/>
        <w:overflowPunct/>
        <w:topLinePunct w:val="0"/>
        <w:bidi w:val="0"/>
        <w:adjustRightInd w:val="0"/>
        <w:snapToGrid w:val="0"/>
        <w:spacing w:line="360" w:lineRule="auto"/>
        <w:ind w:left="0" w:leftChars="0" w:right="0" w:rightChars="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拟支持项目数：</w:t>
      </w:r>
      <w:r>
        <w:rPr>
          <w:rFonts w:hint="eastAsia" w:ascii="仿宋_GB2312" w:hAnsi="仿宋_GB2312" w:eastAsia="仿宋_GB2312" w:cs="仿宋_GB2312"/>
          <w:color w:val="auto"/>
          <w:sz w:val="32"/>
          <w:szCs w:val="32"/>
          <w:lang w:eastAsia="zh-CN"/>
        </w:rPr>
        <w:t>不超过</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项</w:t>
      </w:r>
    </w:p>
    <w:p>
      <w:pPr>
        <w:keepNext w:val="0"/>
        <w:keepLines w:val="0"/>
        <w:pageBreakBefore w:val="0"/>
        <w:widowControl w:val="0"/>
        <w:kinsoku/>
        <w:wordWrap/>
        <w:overflowPunct/>
        <w:topLinePunct w:val="0"/>
        <w:bidi w:val="0"/>
        <w:adjustRightInd w:val="0"/>
        <w:snapToGrid w:val="0"/>
        <w:spacing w:line="360" w:lineRule="auto"/>
        <w:ind w:left="0" w:leftChars="0" w:right="0" w:rightChars="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Cs/>
          <w:color w:val="auto"/>
          <w:sz w:val="32"/>
          <w:szCs w:val="32"/>
        </w:rPr>
        <w:t>相关说明：</w:t>
      </w:r>
      <w:r>
        <w:rPr>
          <w:rFonts w:hint="eastAsia" w:ascii="仿宋_GB2312" w:hAnsi="仿宋_GB2312" w:eastAsia="仿宋_GB2312" w:cs="仿宋_GB2312"/>
          <w:color w:val="auto"/>
          <w:sz w:val="32"/>
          <w:szCs w:val="32"/>
        </w:rPr>
        <w:t>优先支持前期已有较好研究基础、资源可整合度高，特别是已经开展了中医健康数据采集研究的科研机构和企业，要求各课题组具有稳定的科研队伍、工程技术人员。原则上由企业牵头，鼓励产学研结合，牵头或参与的企业必须具有生产、研发中医诊疗设备的背景，拥有与项目相关的发明专利及自主知识产权的核心技术，研发水平处于国内领先，其他经费(包括地方财政经费、单位出资及社会渠道资金等)与中央财政经费比例不低于1:1。</w:t>
      </w:r>
    </w:p>
    <w:p>
      <w:pPr>
        <w:keepNext w:val="0"/>
        <w:keepLines w:val="0"/>
        <w:pageBreakBefore w:val="0"/>
        <w:widowControl w:val="0"/>
        <w:kinsoku/>
        <w:wordWrap/>
        <w:overflowPunct/>
        <w:topLinePunct w:val="0"/>
        <w:bidi w:val="0"/>
        <w:adjustRightInd w:val="0"/>
        <w:snapToGrid w:val="0"/>
        <w:spacing w:line="360" w:lineRule="auto"/>
        <w:ind w:left="0" w:leftChars="0" w:right="0" w:rightChars="0" w:firstLine="643" w:firstLineChars="200"/>
        <w:textAlignment w:val="auto"/>
        <w:rPr>
          <w:rFonts w:hint="eastAsia" w:ascii="仿宋_GB2312" w:hAnsi="仿宋_GB2312" w:eastAsia="仿宋_GB2312" w:cs="仿宋_GB2312"/>
          <w:b/>
          <w:bCs/>
          <w:color w:val="auto"/>
          <w:sz w:val="32"/>
          <w:szCs w:val="32"/>
          <w:lang w:val="en-US" w:eastAsia="zh-CN"/>
        </w:rPr>
      </w:pPr>
      <w:bookmarkStart w:id="107" w:name="_Toc16300"/>
      <w:r>
        <w:rPr>
          <w:rFonts w:hint="eastAsia" w:ascii="仿宋_GB2312" w:hAnsi="仿宋_GB2312" w:eastAsia="仿宋_GB2312" w:cs="仿宋_GB2312"/>
          <w:b/>
          <w:bCs/>
          <w:color w:val="auto"/>
          <w:sz w:val="32"/>
          <w:szCs w:val="32"/>
          <w:lang w:val="en-US" w:eastAsia="zh-CN"/>
        </w:rPr>
        <w:t>4.6中医治疗、康复与保健设备研发关键技术研究</w:t>
      </w:r>
    </w:p>
    <w:p>
      <w:pPr>
        <w:keepNext w:val="0"/>
        <w:keepLines w:val="0"/>
        <w:pageBreakBefore w:val="0"/>
        <w:widowControl w:val="0"/>
        <w:kinsoku/>
        <w:wordWrap/>
        <w:overflowPunct/>
        <w:topLinePunct w:val="0"/>
        <w:bidi w:val="0"/>
        <w:adjustRightInd w:val="0"/>
        <w:snapToGrid w:val="0"/>
        <w:spacing w:line="360" w:lineRule="auto"/>
        <w:ind w:left="0" w:leftChars="0" w:right="0" w:rightChars="0" w:firstLine="643" w:firstLineChars="20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rPr>
        <w:t>4.6.</w:t>
      </w:r>
      <w:bookmarkEnd w:id="107"/>
      <w:r>
        <w:rPr>
          <w:rFonts w:hint="eastAsia" w:ascii="仿宋_GB2312" w:hAnsi="仿宋_GB2312" w:eastAsia="仿宋_GB2312" w:cs="仿宋_GB2312"/>
          <w:b/>
          <w:bCs/>
          <w:color w:val="auto"/>
          <w:sz w:val="32"/>
          <w:szCs w:val="32"/>
          <w:lang w:val="en-US" w:eastAsia="zh-CN"/>
        </w:rPr>
        <w:t>1</w:t>
      </w:r>
      <w:r>
        <w:rPr>
          <w:rFonts w:hint="eastAsia" w:ascii="仿宋_GB2312" w:hAnsi="仿宋_GB2312" w:eastAsia="仿宋_GB2312" w:cs="仿宋_GB2312"/>
          <w:b/>
          <w:bCs/>
          <w:color w:val="auto"/>
          <w:sz w:val="32"/>
          <w:szCs w:val="32"/>
          <w:highlight w:val="none"/>
          <w:lang w:val="en-US" w:eastAsia="zh-CN"/>
        </w:rPr>
        <w:t>中医康复评定与治疗设备研发</w:t>
      </w:r>
    </w:p>
    <w:p>
      <w:pPr>
        <w:keepNext w:val="0"/>
        <w:keepLines w:val="0"/>
        <w:pageBreakBefore w:val="0"/>
        <w:widowControl w:val="0"/>
        <w:kinsoku/>
        <w:wordWrap/>
        <w:overflowPunct/>
        <w:topLinePunct w:val="0"/>
        <w:bidi w:val="0"/>
        <w:adjustRightInd w:val="0"/>
        <w:snapToGrid w:val="0"/>
        <w:spacing w:line="360" w:lineRule="auto"/>
        <w:ind w:left="0" w:leftChars="0" w:right="0" w:rightChars="0" w:firstLine="643"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研究内容</w:t>
      </w:r>
      <w:r>
        <w:rPr>
          <w:rFonts w:hint="eastAsia" w:ascii="仿宋_GB2312" w:hAnsi="仿宋_GB2312" w:eastAsia="仿宋_GB2312" w:cs="仿宋_GB2312"/>
          <w:b w:val="0"/>
          <w:bCs w:val="0"/>
          <w:color w:val="auto"/>
          <w:sz w:val="32"/>
          <w:szCs w:val="32"/>
          <w:highlight w:val="none"/>
          <w:lang w:val="en-US" w:eastAsia="zh-CN"/>
        </w:rPr>
        <w:t>：围绕慢性病、老年人和功能障碍者的康复需求，开展中医康复评定与治疗设备关键技术研究，重点研发中医康复功能评定及治疗、中医康复智能化养老、传统运动管理、中医健康监测和可穿戴式终端智能设备，以及可监控健康风险、评估功能状态水平等具有中医特色的康复辅助器具。</w:t>
      </w:r>
    </w:p>
    <w:p>
      <w:pPr>
        <w:keepNext w:val="0"/>
        <w:keepLines w:val="0"/>
        <w:pageBreakBefore w:val="0"/>
        <w:widowControl w:val="0"/>
        <w:kinsoku/>
        <w:wordWrap/>
        <w:overflowPunct/>
        <w:topLinePunct w:val="0"/>
        <w:bidi w:val="0"/>
        <w:adjustRightInd w:val="0"/>
        <w:snapToGrid w:val="0"/>
        <w:spacing w:line="360" w:lineRule="auto"/>
        <w:ind w:left="0" w:leftChars="0" w:right="0" w:rightChars="0" w:firstLine="643" w:firstLineChars="200"/>
        <w:textAlignment w:val="auto"/>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bCs/>
          <w:color w:val="auto"/>
          <w:sz w:val="32"/>
          <w:szCs w:val="32"/>
          <w:highlight w:val="none"/>
          <w:lang w:val="en-US" w:eastAsia="zh-CN"/>
        </w:rPr>
        <w:t>考核指标</w:t>
      </w:r>
      <w:r>
        <w:rPr>
          <w:rFonts w:hint="eastAsia" w:ascii="仿宋_GB2312" w:hAnsi="仿宋_GB2312" w:eastAsia="仿宋_GB2312" w:cs="仿宋_GB2312"/>
          <w:b w:val="0"/>
          <w:bCs w:val="0"/>
          <w:color w:val="auto"/>
          <w:sz w:val="32"/>
          <w:szCs w:val="32"/>
          <w:highlight w:val="none"/>
          <w:lang w:val="en-US" w:eastAsia="zh-CN"/>
        </w:rPr>
        <w:t>：研发6</w:t>
      </w:r>
      <w:r>
        <w:rPr>
          <w:rFonts w:hint="eastAsia" w:ascii="仿宋_GB2312" w:hAnsi="仿宋_GB2312" w:eastAsia="仿宋_GB2312" w:cs="仿宋_GB2312"/>
          <w:bCs/>
          <w:color w:val="auto"/>
          <w:sz w:val="32"/>
          <w:szCs w:val="32"/>
        </w:rPr>
        <w:t>～</w:t>
      </w:r>
      <w:r>
        <w:rPr>
          <w:rFonts w:hint="eastAsia" w:ascii="仿宋_GB2312" w:hAnsi="仿宋_GB2312" w:eastAsia="仿宋_GB2312" w:cs="仿宋_GB2312"/>
          <w:b w:val="0"/>
          <w:bCs w:val="0"/>
          <w:color w:val="auto"/>
          <w:sz w:val="32"/>
          <w:szCs w:val="32"/>
          <w:highlight w:val="none"/>
          <w:lang w:val="en-US" w:eastAsia="zh-CN"/>
        </w:rPr>
        <w:t>8项中医康复设备的平台、样机， 获得3</w:t>
      </w:r>
      <w:r>
        <w:rPr>
          <w:rFonts w:hint="eastAsia" w:ascii="仿宋_GB2312" w:hAnsi="仿宋_GB2312" w:eastAsia="仿宋_GB2312" w:cs="仿宋_GB2312"/>
          <w:bCs/>
          <w:color w:val="auto"/>
          <w:sz w:val="32"/>
          <w:szCs w:val="32"/>
        </w:rPr>
        <w:t>～</w:t>
      </w:r>
      <w:r>
        <w:rPr>
          <w:rFonts w:hint="eastAsia" w:ascii="仿宋_GB2312" w:hAnsi="仿宋_GB2312" w:eastAsia="仿宋_GB2312" w:cs="仿宋_GB2312"/>
          <w:b w:val="0"/>
          <w:bCs w:val="0"/>
          <w:color w:val="auto"/>
          <w:sz w:val="32"/>
          <w:szCs w:val="32"/>
          <w:highlight w:val="none"/>
          <w:lang w:val="en-US" w:eastAsia="zh-CN"/>
        </w:rPr>
        <w:t>4项医疗器械注册证，获得4</w:t>
      </w:r>
      <w:r>
        <w:rPr>
          <w:rFonts w:hint="eastAsia" w:ascii="仿宋_GB2312" w:hAnsi="仿宋_GB2312" w:eastAsia="仿宋_GB2312" w:cs="仿宋_GB2312"/>
          <w:bCs/>
          <w:color w:val="auto"/>
          <w:sz w:val="32"/>
          <w:szCs w:val="32"/>
        </w:rPr>
        <w:t>～</w:t>
      </w:r>
      <w:r>
        <w:rPr>
          <w:rFonts w:hint="eastAsia" w:ascii="仿宋_GB2312" w:hAnsi="仿宋_GB2312" w:eastAsia="仿宋_GB2312" w:cs="仿宋_GB2312"/>
          <w:b w:val="0"/>
          <w:bCs w:val="0"/>
          <w:color w:val="auto"/>
          <w:sz w:val="32"/>
          <w:szCs w:val="32"/>
          <w:highlight w:val="none"/>
          <w:lang w:val="en-US" w:eastAsia="zh-CN"/>
        </w:rPr>
        <w:t>6项国家授权发明专利、5</w:t>
      </w:r>
      <w:r>
        <w:rPr>
          <w:rFonts w:hint="eastAsia" w:ascii="仿宋_GB2312" w:hAnsi="仿宋_GB2312" w:eastAsia="仿宋_GB2312" w:cs="仿宋_GB2312"/>
          <w:bCs/>
          <w:color w:val="auto"/>
          <w:sz w:val="32"/>
          <w:szCs w:val="32"/>
        </w:rPr>
        <w:t>～</w:t>
      </w:r>
      <w:r>
        <w:rPr>
          <w:rFonts w:hint="eastAsia" w:ascii="仿宋_GB2312" w:hAnsi="仿宋_GB2312" w:eastAsia="仿宋_GB2312" w:cs="仿宋_GB2312"/>
          <w:b w:val="0"/>
          <w:bCs w:val="0"/>
          <w:color w:val="auto"/>
          <w:sz w:val="32"/>
          <w:szCs w:val="32"/>
          <w:highlight w:val="none"/>
          <w:lang w:val="en-US" w:eastAsia="zh-CN"/>
        </w:rPr>
        <w:t>6项实用新型专利、 2</w:t>
      </w:r>
      <w:r>
        <w:rPr>
          <w:rFonts w:hint="eastAsia" w:ascii="仿宋_GB2312" w:hAnsi="仿宋_GB2312" w:eastAsia="仿宋_GB2312" w:cs="仿宋_GB2312"/>
          <w:bCs/>
          <w:color w:val="auto"/>
          <w:sz w:val="32"/>
          <w:szCs w:val="32"/>
        </w:rPr>
        <w:t>～</w:t>
      </w:r>
      <w:r>
        <w:rPr>
          <w:rFonts w:hint="eastAsia" w:ascii="仿宋_GB2312" w:hAnsi="仿宋_GB2312" w:eastAsia="仿宋_GB2312" w:cs="仿宋_GB2312"/>
          <w:b w:val="0"/>
          <w:bCs w:val="0"/>
          <w:color w:val="auto"/>
          <w:sz w:val="32"/>
          <w:szCs w:val="32"/>
          <w:highlight w:val="none"/>
          <w:lang w:val="en-US" w:eastAsia="zh-CN"/>
        </w:rPr>
        <w:t>4项软件著作权。</w:t>
      </w:r>
    </w:p>
    <w:p>
      <w:pPr>
        <w:keepNext w:val="0"/>
        <w:keepLines w:val="0"/>
        <w:pageBreakBefore w:val="0"/>
        <w:widowControl w:val="0"/>
        <w:kinsoku/>
        <w:wordWrap/>
        <w:overflowPunct/>
        <w:topLinePunct w:val="0"/>
        <w:bidi w:val="0"/>
        <w:adjustRightInd w:val="0"/>
        <w:snapToGrid w:val="0"/>
        <w:spacing w:line="360" w:lineRule="auto"/>
        <w:ind w:left="0" w:leftChars="0" w:right="0" w:rightChars="0" w:firstLine="640" w:firstLineChars="200"/>
        <w:textAlignment w:val="auto"/>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lang w:val="en-US" w:eastAsia="zh-CN"/>
        </w:rPr>
        <w:t>支持年限：</w:t>
      </w:r>
      <w:r>
        <w:rPr>
          <w:rFonts w:hint="eastAsia" w:ascii="仿宋_GB2312" w:hAnsi="仿宋_GB2312" w:eastAsia="仿宋_GB2312" w:cs="仿宋_GB2312"/>
          <w:color w:val="auto"/>
          <w:sz w:val="32"/>
          <w:szCs w:val="32"/>
        </w:rPr>
        <w:t>201</w:t>
      </w:r>
      <w:r>
        <w:rPr>
          <w:rFonts w:hint="eastAsia" w:ascii="仿宋_GB2312" w:hAnsi="仿宋_GB2312" w:eastAsia="仿宋_GB2312" w:cs="仿宋_GB2312"/>
          <w:color w:val="auto"/>
          <w:sz w:val="32"/>
          <w:szCs w:val="32"/>
          <w:lang w:val="en-US" w:eastAsia="zh-CN"/>
        </w:rPr>
        <w:t>8—</w:t>
      </w:r>
      <w:r>
        <w:rPr>
          <w:rFonts w:hint="eastAsia" w:ascii="仿宋_GB2312" w:hAnsi="仿宋_GB2312" w:eastAsia="仿宋_GB2312" w:cs="仿宋_GB2312"/>
          <w:color w:val="auto"/>
          <w:sz w:val="32"/>
          <w:szCs w:val="32"/>
        </w:rPr>
        <w:t>202</w:t>
      </w: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rPr>
        <w:t>年</w:t>
      </w:r>
    </w:p>
    <w:p>
      <w:pPr>
        <w:keepNext w:val="0"/>
        <w:keepLines w:val="0"/>
        <w:pageBreakBefore w:val="0"/>
        <w:widowControl w:val="0"/>
        <w:kinsoku/>
        <w:wordWrap/>
        <w:overflowPunct/>
        <w:topLinePunct w:val="0"/>
        <w:bidi w:val="0"/>
        <w:adjustRightInd w:val="0"/>
        <w:snapToGrid w:val="0"/>
        <w:spacing w:line="360" w:lineRule="auto"/>
        <w:ind w:left="0" w:leftChars="0" w:right="0" w:rightChars="0" w:firstLine="640" w:firstLineChars="200"/>
        <w:textAlignment w:val="auto"/>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lang w:val="en-US" w:eastAsia="zh-CN"/>
        </w:rPr>
        <w:t>拟支持项目数：1</w:t>
      </w:r>
      <w:r>
        <w:rPr>
          <w:rFonts w:hint="eastAsia" w:ascii="仿宋_GB2312" w:hAnsi="仿宋_GB2312" w:eastAsia="仿宋_GB2312" w:cs="仿宋_GB2312"/>
          <w:bCs/>
          <w:color w:val="auto"/>
          <w:sz w:val="32"/>
          <w:szCs w:val="32"/>
        </w:rPr>
        <w:t>～</w:t>
      </w:r>
      <w:r>
        <w:rPr>
          <w:rFonts w:hint="eastAsia" w:ascii="仿宋_GB2312" w:hAnsi="仿宋_GB2312" w:eastAsia="仿宋_GB2312" w:cs="仿宋_GB2312"/>
          <w:b w:val="0"/>
          <w:bCs w:val="0"/>
          <w:color w:val="auto"/>
          <w:sz w:val="32"/>
          <w:szCs w:val="32"/>
          <w:highlight w:val="none"/>
          <w:lang w:val="en-US" w:eastAsia="zh-CN"/>
        </w:rPr>
        <w:t>2项</w:t>
      </w:r>
    </w:p>
    <w:p>
      <w:pPr>
        <w:keepNext w:val="0"/>
        <w:keepLines w:val="0"/>
        <w:pageBreakBefore w:val="0"/>
        <w:widowControl w:val="0"/>
        <w:kinsoku/>
        <w:wordWrap/>
        <w:overflowPunct/>
        <w:topLinePunct w:val="0"/>
        <w:bidi w:val="0"/>
        <w:adjustRightInd w:val="0"/>
        <w:snapToGrid w:val="0"/>
        <w:spacing w:line="360" w:lineRule="auto"/>
        <w:ind w:left="0" w:leftChars="0" w:right="0" w:rightChars="0" w:firstLine="640" w:firstLineChars="200"/>
        <w:textAlignment w:val="auto"/>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lang w:val="en-US" w:eastAsia="zh-CN"/>
        </w:rPr>
        <w:t>相关说明：优先支持前期已有较好研究基础、资源可整合度高，特别是已经开展了中医康复设备研发与健康数据采集研究的科研机构和企业，要求各课题组具有稳定的科研队伍、工程技术人员。鼓励产学研结合，牵头或参与的单位必须具有生产、研发中医诊疗设备的背景，拥有与项目相关的发明专利及自主知识产权的核心技术，其他经费(包括地方财政经费、单位出资及社会渠道资金等)与中央财政经费比例不低于1:1。</w:t>
      </w:r>
    </w:p>
    <w:bookmarkEnd w:id="98"/>
    <w:bookmarkEnd w:id="99"/>
    <w:bookmarkEnd w:id="100"/>
    <w:p>
      <w:pPr>
        <w:pStyle w:val="3"/>
        <w:keepNext w:val="0"/>
        <w:keepLines w:val="0"/>
        <w:pageBreakBefore w:val="0"/>
        <w:widowControl w:val="0"/>
        <w:kinsoku/>
        <w:wordWrap/>
        <w:overflowPunct/>
        <w:topLinePunct w:val="0"/>
        <w:bidi w:val="0"/>
        <w:adjustRightInd w:val="0"/>
        <w:snapToGrid w:val="0"/>
        <w:spacing w:before="0" w:after="0" w:line="360" w:lineRule="auto"/>
        <w:ind w:left="0" w:leftChars="0" w:right="0" w:rightChars="0" w:firstLine="643" w:firstLineChars="200"/>
        <w:textAlignment w:val="auto"/>
        <w:rPr>
          <w:rFonts w:hint="eastAsia" w:ascii="仿宋_GB2312" w:hAnsi="仿宋_GB2312" w:eastAsia="仿宋_GB2312" w:cs="仿宋_GB2312"/>
          <w:color w:val="auto"/>
          <w:sz w:val="32"/>
          <w:szCs w:val="32"/>
        </w:rPr>
      </w:pPr>
      <w:bookmarkStart w:id="108" w:name="_Toc15289"/>
      <w:bookmarkStart w:id="109" w:name="_Toc466641337"/>
      <w:bookmarkStart w:id="110" w:name="_Toc450029744"/>
      <w:bookmarkStart w:id="111" w:name="_Toc459121014"/>
      <w:bookmarkStart w:id="112" w:name="_Toc446308756"/>
      <w:r>
        <w:rPr>
          <w:rFonts w:hint="eastAsia" w:ascii="仿宋_GB2312" w:hAnsi="仿宋_GB2312" w:eastAsia="仿宋_GB2312" w:cs="仿宋_GB2312"/>
          <w:color w:val="auto"/>
          <w:sz w:val="32"/>
          <w:szCs w:val="32"/>
        </w:rPr>
        <w:t>5 中医药国际化</w:t>
      </w:r>
      <w:bookmarkEnd w:id="108"/>
      <w:bookmarkEnd w:id="109"/>
    </w:p>
    <w:bookmarkEnd w:id="110"/>
    <w:bookmarkEnd w:id="111"/>
    <w:p>
      <w:pPr>
        <w:pStyle w:val="4"/>
        <w:keepNext w:val="0"/>
        <w:keepLines w:val="0"/>
        <w:pageBreakBefore w:val="0"/>
        <w:widowControl w:val="0"/>
        <w:kinsoku/>
        <w:wordWrap/>
        <w:overflowPunct/>
        <w:topLinePunct w:val="0"/>
        <w:bidi w:val="0"/>
        <w:adjustRightInd w:val="0"/>
        <w:snapToGrid w:val="0"/>
        <w:spacing w:before="0" w:after="0" w:line="360" w:lineRule="auto"/>
        <w:ind w:left="0" w:leftChars="0" w:right="0" w:rightChars="0" w:firstLine="643" w:firstLineChars="200"/>
        <w:textAlignment w:val="auto"/>
        <w:rPr>
          <w:rFonts w:hint="eastAsia" w:ascii="仿宋_GB2312" w:hAnsi="仿宋_GB2312" w:eastAsia="仿宋_GB2312" w:cs="仿宋_GB2312"/>
          <w:color w:val="auto"/>
          <w:sz w:val="32"/>
          <w:szCs w:val="32"/>
          <w:lang w:val="en-US" w:eastAsia="zh-CN"/>
        </w:rPr>
      </w:pPr>
      <w:bookmarkStart w:id="113" w:name="_Toc14727"/>
      <w:bookmarkStart w:id="114" w:name="_Toc466641341"/>
      <w:bookmarkStart w:id="115" w:name="_Toc459121017"/>
      <w:r>
        <w:rPr>
          <w:rFonts w:hint="eastAsia" w:ascii="仿宋_GB2312" w:hAnsi="仿宋_GB2312" w:eastAsia="仿宋_GB2312" w:cs="仿宋_GB2312"/>
          <w:color w:val="auto"/>
          <w:sz w:val="32"/>
          <w:szCs w:val="32"/>
          <w:lang w:val="en-US" w:eastAsia="zh-CN"/>
        </w:rPr>
        <w:t>5.2中医药国际标准研究</w:t>
      </w:r>
    </w:p>
    <w:p>
      <w:pPr>
        <w:pStyle w:val="4"/>
        <w:keepNext w:val="0"/>
        <w:keepLines w:val="0"/>
        <w:pageBreakBefore w:val="0"/>
        <w:widowControl w:val="0"/>
        <w:kinsoku/>
        <w:wordWrap/>
        <w:overflowPunct/>
        <w:topLinePunct w:val="0"/>
        <w:bidi w:val="0"/>
        <w:adjustRightInd w:val="0"/>
        <w:snapToGrid w:val="0"/>
        <w:spacing w:before="0" w:after="0" w:line="360" w:lineRule="auto"/>
        <w:ind w:left="0" w:leftChars="0" w:right="0" w:rightChars="0" w:firstLine="643" w:firstLineChars="200"/>
        <w:textAlignment w:val="auto"/>
        <w:rPr>
          <w:rFonts w:hint="eastAsia" w:ascii="仿宋_GB2312" w:hAnsi="仿宋_GB2312" w:eastAsia="仿宋_GB2312" w:cs="仿宋_GB2312"/>
          <w:color w:val="auto"/>
          <w:sz w:val="32"/>
          <w:szCs w:val="32"/>
          <w:highlight w:val="yellow"/>
        </w:rPr>
      </w:pPr>
      <w:r>
        <w:rPr>
          <w:rFonts w:hint="eastAsia" w:ascii="仿宋_GB2312" w:hAnsi="仿宋_GB2312" w:eastAsia="仿宋_GB2312" w:cs="仿宋_GB2312"/>
          <w:color w:val="auto"/>
          <w:sz w:val="32"/>
          <w:szCs w:val="32"/>
        </w:rPr>
        <w:t>5.2.</w:t>
      </w: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rPr>
        <w:t>中药国际标准示范研究</w:t>
      </w:r>
      <w:bookmarkEnd w:id="113"/>
      <w:bookmarkEnd w:id="114"/>
      <w:bookmarkEnd w:id="115"/>
    </w:p>
    <w:p>
      <w:pPr>
        <w:keepNext w:val="0"/>
        <w:keepLines w:val="0"/>
        <w:pageBreakBefore w:val="0"/>
        <w:widowControl w:val="0"/>
        <w:kinsoku/>
        <w:wordWrap/>
        <w:overflowPunct/>
        <w:topLinePunct w:val="0"/>
        <w:bidi w:val="0"/>
        <w:adjustRightInd w:val="0"/>
        <w:snapToGrid w:val="0"/>
        <w:spacing w:line="360" w:lineRule="auto"/>
        <w:ind w:left="0" w:leftChars="0" w:right="0" w:rightChars="0" w:firstLine="643"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rPr>
        <w:t>研究内容</w:t>
      </w:r>
      <w:r>
        <w:rPr>
          <w:rFonts w:hint="eastAsia" w:ascii="仿宋_GB2312" w:hAnsi="仿宋_GB2312" w:eastAsia="仿宋_GB2312" w:cs="仿宋_GB2312"/>
          <w:color w:val="auto"/>
          <w:sz w:val="32"/>
          <w:szCs w:val="32"/>
        </w:rPr>
        <w:t>：选择临床应用历史悠久、疗效确切，有广阔国际市场前景的10个中成药大品种，按欧盟传统药物注册的要求开展质量标准的系统研究，为在欧盟或其成员国获得传统药物注册提供支撑。按美国或欧洲药典等国际主流药典和ISO等国际标准化组织的要求，开展一批常用中药的质量标准研究，推动相关标准被国际主流药典或国际标准化组织（ISO）采纳。</w:t>
      </w:r>
    </w:p>
    <w:p>
      <w:pPr>
        <w:keepNext w:val="0"/>
        <w:keepLines w:val="0"/>
        <w:pageBreakBefore w:val="0"/>
        <w:widowControl w:val="0"/>
        <w:kinsoku/>
        <w:wordWrap/>
        <w:overflowPunct/>
        <w:topLinePunct w:val="0"/>
        <w:bidi w:val="0"/>
        <w:adjustRightInd w:val="0"/>
        <w:snapToGrid w:val="0"/>
        <w:spacing w:line="360" w:lineRule="auto"/>
        <w:ind w:left="0" w:leftChars="0" w:right="0" w:rightChars="0" w:firstLine="643"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
          <w:bCs/>
          <w:color w:val="auto"/>
          <w:sz w:val="32"/>
          <w:szCs w:val="32"/>
        </w:rPr>
        <w:t>考核指标</w:t>
      </w:r>
      <w:r>
        <w:rPr>
          <w:rFonts w:hint="eastAsia" w:ascii="仿宋_GB2312" w:hAnsi="仿宋_GB2312" w:eastAsia="仿宋_GB2312" w:cs="仿宋_GB2312"/>
          <w:color w:val="auto"/>
          <w:sz w:val="32"/>
          <w:szCs w:val="32"/>
        </w:rPr>
        <w:t>：制定10个拟在欧盟注册的中成药大品种的质量标准，达到欧盟或其成员国完成传统药物注册的相关技术要求；建立100种常用中药的整体质量标准，其中50个标准被美国药典、欧洲药典或国际标准化组织（ISO）采纳。</w:t>
      </w:r>
    </w:p>
    <w:p>
      <w:pPr>
        <w:keepNext w:val="0"/>
        <w:keepLines w:val="0"/>
        <w:pageBreakBefore w:val="0"/>
        <w:widowControl w:val="0"/>
        <w:kinsoku/>
        <w:wordWrap/>
        <w:overflowPunct/>
        <w:topLinePunct w:val="0"/>
        <w:bidi w:val="0"/>
        <w:adjustRightInd w:val="0"/>
        <w:snapToGrid w:val="0"/>
        <w:spacing w:line="360" w:lineRule="auto"/>
        <w:ind w:left="0" w:leftChars="0" w:right="0" w:rightChars="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支持年限：201</w:t>
      </w:r>
      <w:r>
        <w:rPr>
          <w:rFonts w:hint="eastAsia" w:ascii="仿宋_GB2312" w:hAnsi="仿宋_GB2312" w:eastAsia="仿宋_GB2312" w:cs="仿宋_GB2312"/>
          <w:color w:val="auto"/>
          <w:sz w:val="32"/>
          <w:szCs w:val="32"/>
          <w:lang w:val="en-US" w:eastAsia="zh-CN"/>
        </w:rPr>
        <w:t>8—</w:t>
      </w:r>
      <w:r>
        <w:rPr>
          <w:rFonts w:hint="eastAsia" w:ascii="仿宋_GB2312" w:hAnsi="仿宋_GB2312" w:eastAsia="仿宋_GB2312" w:cs="仿宋_GB2312"/>
          <w:color w:val="auto"/>
          <w:sz w:val="32"/>
          <w:szCs w:val="32"/>
        </w:rPr>
        <w:t>202</w:t>
      </w: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rPr>
        <w:t>年</w:t>
      </w:r>
    </w:p>
    <w:p>
      <w:pPr>
        <w:keepNext w:val="0"/>
        <w:keepLines w:val="0"/>
        <w:pageBreakBefore w:val="0"/>
        <w:widowControl w:val="0"/>
        <w:kinsoku/>
        <w:wordWrap/>
        <w:overflowPunct/>
        <w:topLinePunct w:val="0"/>
        <w:bidi w:val="0"/>
        <w:adjustRightInd w:val="0"/>
        <w:snapToGrid w:val="0"/>
        <w:spacing w:line="360" w:lineRule="auto"/>
        <w:ind w:left="0" w:leftChars="0" w:right="0" w:rightChars="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拟支持项目数：1</w:t>
      </w:r>
      <w:r>
        <w:rPr>
          <w:rFonts w:hint="eastAsia" w:ascii="仿宋_GB2312" w:hAnsi="仿宋_GB2312" w:eastAsia="仿宋_GB2312" w:cs="仿宋_GB2312"/>
          <w:bCs/>
          <w:color w:val="auto"/>
          <w:sz w:val="32"/>
          <w:szCs w:val="32"/>
        </w:rPr>
        <w:t>～</w:t>
      </w:r>
      <w:r>
        <w:rPr>
          <w:rFonts w:hint="eastAsia" w:ascii="仿宋_GB2312" w:hAnsi="仿宋_GB2312" w:eastAsia="仿宋_GB2312" w:cs="仿宋_GB2312"/>
          <w:color w:val="auto"/>
          <w:sz w:val="32"/>
          <w:szCs w:val="32"/>
        </w:rPr>
        <w:t>2项</w:t>
      </w:r>
      <w:bookmarkEnd w:id="112"/>
    </w:p>
    <w:p>
      <w:pPr>
        <w:pStyle w:val="2"/>
        <w:pageBreakBefore w:val="0"/>
        <w:kinsoku/>
        <w:wordWrap/>
        <w:overflowPunct/>
        <w:topLinePunct w:val="0"/>
        <w:bidi w:val="0"/>
        <w:adjustRightInd w:val="0"/>
        <w:snapToGrid w:val="0"/>
        <w:spacing w:before="0" w:after="0" w:line="360" w:lineRule="auto"/>
        <w:ind w:right="0" w:rightChars="0" w:firstLine="643" w:firstLineChars="200"/>
        <w:textAlignment w:val="auto"/>
        <w:rPr>
          <w:rFonts w:hint="eastAsia" w:ascii="仿宋_GB2312" w:hAnsi="仿宋_GB2312" w:eastAsia="仿宋_GB2312" w:cs="仿宋_GB2312"/>
          <w:color w:val="auto"/>
          <w:sz w:val="32"/>
          <w:szCs w:val="32"/>
        </w:rPr>
      </w:pPr>
      <w:bookmarkStart w:id="116" w:name="_Toc459121019"/>
      <w:bookmarkStart w:id="117" w:name="_Toc466641343"/>
      <w:bookmarkStart w:id="118" w:name="_Toc450029757"/>
      <w:bookmarkStart w:id="119" w:name="_Toc11656"/>
      <w:r>
        <w:rPr>
          <w:rFonts w:hint="eastAsia" w:ascii="仿宋_GB2312" w:hAnsi="仿宋_GB2312" w:eastAsia="仿宋_GB2312" w:cs="仿宋_GB2312"/>
          <w:color w:val="auto"/>
          <w:sz w:val="32"/>
          <w:szCs w:val="32"/>
        </w:rPr>
        <w:t>6民族医药传承与创新</w:t>
      </w:r>
      <w:bookmarkEnd w:id="116"/>
      <w:bookmarkEnd w:id="117"/>
      <w:bookmarkEnd w:id="118"/>
      <w:bookmarkEnd w:id="119"/>
    </w:p>
    <w:p>
      <w:pPr>
        <w:pStyle w:val="4"/>
        <w:keepNext w:val="0"/>
        <w:keepLines w:val="0"/>
        <w:pageBreakBefore w:val="0"/>
        <w:widowControl w:val="0"/>
        <w:kinsoku/>
        <w:wordWrap/>
        <w:overflowPunct/>
        <w:topLinePunct w:val="0"/>
        <w:bidi w:val="0"/>
        <w:adjustRightInd w:val="0"/>
        <w:snapToGrid w:val="0"/>
        <w:spacing w:before="0" w:after="0" w:line="360" w:lineRule="auto"/>
        <w:ind w:left="0" w:leftChars="0" w:right="0" w:rightChars="0" w:firstLine="643"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6.2民族医药防治重大疾病和常见病研究</w:t>
      </w:r>
    </w:p>
    <w:p>
      <w:pPr>
        <w:keepNext w:val="0"/>
        <w:keepLines w:val="0"/>
        <w:pageBreakBefore w:val="0"/>
        <w:widowControl w:val="0"/>
        <w:kinsoku/>
        <w:wordWrap/>
        <w:overflowPunct/>
        <w:topLinePunct w:val="0"/>
        <w:bidi w:val="0"/>
        <w:adjustRightInd w:val="0"/>
        <w:snapToGrid w:val="0"/>
        <w:spacing w:line="360" w:lineRule="auto"/>
        <w:ind w:left="0" w:leftChars="0" w:right="0" w:rightChars="0" w:firstLine="643" w:firstLineChars="200"/>
        <w:textAlignment w:val="auto"/>
        <w:rPr>
          <w:rFonts w:hint="eastAsia" w:ascii="仿宋_GB2312" w:hAnsi="仿宋_GB2312" w:eastAsia="仿宋_GB2312" w:cs="仿宋_GB2312"/>
          <w:b/>
          <w:bCs/>
          <w:color w:val="auto"/>
          <w:sz w:val="32"/>
          <w:szCs w:val="32"/>
          <w:lang w:val="en-US" w:eastAsia="zh-CN"/>
        </w:rPr>
      </w:pPr>
      <w:r>
        <w:rPr>
          <w:rFonts w:hint="eastAsia" w:ascii="仿宋_GB2312" w:hAnsi="仿宋_GB2312" w:eastAsia="仿宋_GB2312" w:cs="仿宋_GB2312"/>
          <w:b/>
          <w:bCs/>
          <w:color w:val="auto"/>
          <w:sz w:val="32"/>
          <w:szCs w:val="32"/>
          <w:lang w:val="en-US" w:eastAsia="zh-CN"/>
        </w:rPr>
        <w:t>6.2.1藏医、蒙医、维医等民族医药防治重大疾病或优势病种研究</w:t>
      </w:r>
    </w:p>
    <w:p>
      <w:pPr>
        <w:keepNext w:val="0"/>
        <w:keepLines w:val="0"/>
        <w:pageBreakBefore w:val="0"/>
        <w:widowControl w:val="0"/>
        <w:kinsoku/>
        <w:wordWrap/>
        <w:overflowPunct/>
        <w:topLinePunct w:val="0"/>
        <w:bidi w:val="0"/>
        <w:adjustRightInd w:val="0"/>
        <w:snapToGrid w:val="0"/>
        <w:spacing w:line="360" w:lineRule="auto"/>
        <w:ind w:left="0" w:leftChars="0" w:right="0" w:rightChars="0" w:firstLine="643" w:firstLineChars="200"/>
        <w:textAlignment w:val="auto"/>
        <w:rPr>
          <w:rFonts w:hint="eastAsia" w:ascii="仿宋_GB2312" w:hAnsi="仿宋_GB2312" w:eastAsia="仿宋_GB2312" w:cs="仿宋_GB2312"/>
          <w:b w:val="0"/>
          <w:bCs w:val="0"/>
          <w:color w:val="0000FF"/>
          <w:sz w:val="32"/>
          <w:szCs w:val="32"/>
        </w:rPr>
      </w:pPr>
      <w:r>
        <w:rPr>
          <w:rFonts w:hint="eastAsia" w:ascii="仿宋_GB2312" w:hAnsi="仿宋_GB2312" w:eastAsia="仿宋_GB2312" w:cs="仿宋_GB2312"/>
          <w:b/>
          <w:bCs/>
          <w:color w:val="auto"/>
          <w:sz w:val="32"/>
          <w:szCs w:val="32"/>
        </w:rPr>
        <w:t>研究内容</w:t>
      </w:r>
      <w:r>
        <w:rPr>
          <w:rFonts w:hint="eastAsia" w:ascii="仿宋_GB2312" w:hAnsi="仿宋_GB2312" w:eastAsia="仿宋_GB2312" w:cs="仿宋_GB2312"/>
          <w:b w:val="0"/>
          <w:bCs w:val="0"/>
          <w:color w:val="auto"/>
          <w:sz w:val="32"/>
          <w:szCs w:val="32"/>
        </w:rPr>
        <w:t>：优选藏医药防治肝硬化腹水、脑中风后遗症，蒙医药防治缓慢性心律失常、慢性阻塞性肺病，维医药防治阿尔茨海默病、乳腺癌、胃食管反流病，傣医药、壮医药、哈萨克医药、彝医药等民族医药防治痛风、强直性脊柱炎、脊柱退行性疾病等重大疾病或优势病种，开展病机与病期、方案优化与临床评价、特色技术与制剂、诊疗指南制定与推广应用等方面的研究，形成民族医防治重大疾病或优势病种的规范诊疗方案、特色诊疗技术；开展民族医药防治上述重大疾病经典方剂的组方理论、临床定位、安全性或有效性评价研究，为临床合理用药提供证据。</w:t>
      </w:r>
    </w:p>
    <w:p>
      <w:pPr>
        <w:keepNext w:val="0"/>
        <w:keepLines w:val="0"/>
        <w:pageBreakBefore w:val="0"/>
        <w:widowControl w:val="0"/>
        <w:kinsoku/>
        <w:wordWrap/>
        <w:overflowPunct/>
        <w:topLinePunct w:val="0"/>
        <w:bidi w:val="0"/>
        <w:adjustRightInd w:val="0"/>
        <w:snapToGrid w:val="0"/>
        <w:spacing w:line="360" w:lineRule="auto"/>
        <w:ind w:left="0" w:leftChars="0" w:right="0" w:rightChars="0" w:firstLine="643" w:firstLineChars="200"/>
        <w:textAlignment w:val="auto"/>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bCs/>
          <w:color w:val="auto"/>
          <w:sz w:val="32"/>
          <w:szCs w:val="32"/>
        </w:rPr>
        <w:t>考核指标</w:t>
      </w:r>
      <w:r>
        <w:rPr>
          <w:rFonts w:hint="eastAsia" w:ascii="仿宋_GB2312" w:hAnsi="仿宋_GB2312" w:eastAsia="仿宋_GB2312" w:cs="仿宋_GB2312"/>
          <w:b w:val="0"/>
          <w:bCs w:val="0"/>
          <w:color w:val="auto"/>
          <w:sz w:val="32"/>
          <w:szCs w:val="32"/>
        </w:rPr>
        <w:t>：形成民族医防治重大疾病或优势病种的防治方案、诊疗标准与指南、特色技术及有效制剂等服务包不少于8个；明确5～7个代表性民族药经典方剂的组方理论、临床定位，并对其安全性与有效性做出评价。</w:t>
      </w:r>
    </w:p>
    <w:p>
      <w:pPr>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实施年限：2018-2021年</w:t>
      </w:r>
    </w:p>
    <w:p>
      <w:pPr>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拟支持项目数：1</w:t>
      </w:r>
      <w:r>
        <w:rPr>
          <w:rFonts w:hint="eastAsia" w:ascii="仿宋_GB2312" w:hAnsi="仿宋_GB2312" w:eastAsia="仿宋_GB2312" w:cs="仿宋_GB2312"/>
          <w:bCs/>
          <w:color w:val="auto"/>
          <w:sz w:val="32"/>
          <w:szCs w:val="32"/>
        </w:rPr>
        <w:t>～</w:t>
      </w: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项</w:t>
      </w:r>
    </w:p>
    <w:p>
      <w:pPr>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有关说明：项目下设课题不超过7个，项目所含单位数不超过30家。优先支持前期已有较好研究基础、资源可整合度高，特别是已经建立了民族医治疗优势病种的专业临床研究队伍，以及具有民族药安全性与有效性良好研究基础的专业队伍。</w:t>
      </w:r>
    </w:p>
    <w:p>
      <w:pPr>
        <w:ind w:firstLine="640" w:firstLineChars="200"/>
        <w:rPr>
          <w:rFonts w:hint="eastAsia" w:ascii="仿宋_GB2312" w:hAnsi="仿宋_GB2312" w:eastAsia="仿宋_GB2312" w:cs="仿宋_GB2312"/>
          <w:color w:val="auto"/>
          <w:sz w:val="32"/>
          <w:szCs w:val="32"/>
        </w:rPr>
      </w:pPr>
    </w:p>
    <w:p>
      <w:pPr>
        <w:ind w:firstLine="640" w:firstLineChars="200"/>
        <w:rPr>
          <w:rFonts w:hint="eastAsia" w:ascii="仿宋_GB2312" w:hAnsi="仿宋_GB2312" w:eastAsia="仿宋_GB2312" w:cs="仿宋_GB2312"/>
          <w:color w:val="auto"/>
          <w:sz w:val="32"/>
          <w:szCs w:val="32"/>
        </w:rPr>
      </w:pPr>
    </w:p>
    <w:p>
      <w:pPr>
        <w:ind w:firstLine="640" w:firstLineChars="200"/>
        <w:rPr>
          <w:rFonts w:hint="eastAsia" w:ascii="仿宋_GB2312" w:hAnsi="仿宋_GB2312" w:eastAsia="仿宋_GB2312" w:cs="仿宋_GB2312"/>
          <w:color w:val="auto"/>
          <w:sz w:val="32"/>
          <w:szCs w:val="32"/>
        </w:rPr>
      </w:pPr>
    </w:p>
    <w:p>
      <w:pPr>
        <w:ind w:firstLine="640" w:firstLineChars="200"/>
        <w:rPr>
          <w:rFonts w:hint="eastAsia" w:ascii="仿宋_GB2312" w:hAnsi="仿宋_GB2312" w:eastAsia="仿宋_GB2312" w:cs="仿宋_GB2312"/>
          <w:color w:val="auto"/>
          <w:sz w:val="32"/>
          <w:szCs w:val="32"/>
        </w:rPr>
      </w:pPr>
    </w:p>
    <w:p>
      <w:pPr>
        <w:ind w:firstLine="640" w:firstLineChars="200"/>
        <w:rPr>
          <w:rFonts w:hint="eastAsia" w:ascii="仿宋_GB2312" w:hAnsi="仿宋_GB2312" w:eastAsia="仿宋_GB2312" w:cs="仿宋_GB2312"/>
          <w:color w:val="auto"/>
          <w:sz w:val="32"/>
          <w:szCs w:val="32"/>
        </w:rPr>
      </w:pPr>
    </w:p>
    <w:p>
      <w:pPr>
        <w:ind w:firstLine="640" w:firstLineChars="200"/>
        <w:rPr>
          <w:rFonts w:hint="eastAsia" w:ascii="仿宋_GB2312" w:hAnsi="仿宋_GB2312" w:eastAsia="仿宋_GB2312" w:cs="仿宋_GB2312"/>
          <w:color w:val="auto"/>
          <w:sz w:val="32"/>
          <w:szCs w:val="32"/>
        </w:rPr>
      </w:pPr>
    </w:p>
    <w:p>
      <w:pPr>
        <w:ind w:firstLine="640" w:firstLineChars="200"/>
        <w:rPr>
          <w:rFonts w:hint="eastAsia" w:ascii="仿宋_GB2312" w:hAnsi="仿宋_GB2312" w:eastAsia="仿宋_GB2312" w:cs="仿宋_GB2312"/>
          <w:color w:val="auto"/>
          <w:sz w:val="32"/>
          <w:szCs w:val="32"/>
        </w:rPr>
      </w:pPr>
    </w:p>
    <w:p>
      <w:pPr>
        <w:ind w:firstLine="640" w:firstLineChars="200"/>
        <w:rPr>
          <w:rFonts w:hint="eastAsia" w:ascii="仿宋_GB2312" w:hAnsi="仿宋_GB2312" w:eastAsia="仿宋_GB2312" w:cs="仿宋_GB2312"/>
          <w:color w:val="auto"/>
          <w:sz w:val="32"/>
          <w:szCs w:val="32"/>
        </w:rPr>
      </w:pPr>
    </w:p>
    <w:p>
      <w:pPr>
        <w:ind w:firstLine="640" w:firstLineChars="200"/>
        <w:rPr>
          <w:rFonts w:hint="eastAsia" w:ascii="仿宋_GB2312" w:hAnsi="仿宋_GB2312" w:eastAsia="仿宋_GB2312" w:cs="仿宋_GB2312"/>
          <w:color w:val="auto"/>
          <w:sz w:val="32"/>
          <w:szCs w:val="32"/>
        </w:rPr>
      </w:pPr>
    </w:p>
    <w:p>
      <w:pPr>
        <w:ind w:firstLine="640" w:firstLineChars="200"/>
        <w:rPr>
          <w:rFonts w:hint="eastAsia" w:ascii="仿宋_GB2312" w:hAnsi="仿宋_GB2312" w:eastAsia="仿宋_GB2312" w:cs="仿宋_GB2312"/>
          <w:color w:val="auto"/>
          <w:sz w:val="32"/>
          <w:szCs w:val="32"/>
        </w:rPr>
      </w:pPr>
    </w:p>
    <w:p>
      <w:pPr>
        <w:ind w:firstLine="640" w:firstLineChars="200"/>
        <w:rPr>
          <w:rFonts w:hint="eastAsia" w:ascii="仿宋_GB2312" w:hAnsi="仿宋_GB2312" w:eastAsia="仿宋_GB2312" w:cs="仿宋_GB2312"/>
          <w:color w:val="auto"/>
          <w:sz w:val="32"/>
          <w:szCs w:val="32"/>
        </w:rPr>
      </w:pPr>
    </w:p>
    <w:p>
      <w:pPr>
        <w:ind w:firstLine="640" w:firstLineChars="200"/>
        <w:rPr>
          <w:rFonts w:hint="eastAsia" w:ascii="仿宋_GB2312" w:hAnsi="仿宋_GB2312" w:eastAsia="仿宋_GB2312" w:cs="仿宋_GB2312"/>
          <w:color w:val="auto"/>
          <w:sz w:val="32"/>
          <w:szCs w:val="32"/>
        </w:rPr>
      </w:pPr>
    </w:p>
    <w:p>
      <w:pPr>
        <w:ind w:firstLine="640" w:firstLineChars="200"/>
        <w:rPr>
          <w:rFonts w:hint="eastAsia" w:ascii="仿宋_GB2312" w:hAnsi="仿宋_GB2312" w:eastAsia="仿宋_GB2312" w:cs="仿宋_GB2312"/>
          <w:color w:val="auto"/>
          <w:sz w:val="32"/>
          <w:szCs w:val="32"/>
        </w:rPr>
      </w:pPr>
    </w:p>
    <w:p>
      <w:pPr>
        <w:keepNext w:val="0"/>
        <w:keepLines w:val="0"/>
        <w:pageBreakBefore w:val="0"/>
        <w:widowControl w:val="0"/>
        <w:kinsoku/>
        <w:wordWrap/>
        <w:overflowPunct/>
        <w:topLinePunct w:val="0"/>
        <w:autoSpaceDE/>
        <w:autoSpaceDN/>
        <w:bidi w:val="0"/>
        <w:adjustRightInd w:val="0"/>
        <w:snapToGrid w:val="0"/>
        <w:spacing w:before="0" w:beforeLines="0" w:after="0" w:afterLines="0" w:line="300" w:lineRule="auto"/>
        <w:ind w:left="0" w:leftChars="0" w:right="0" w:rightChars="0" w:firstLine="0" w:firstLineChars="0"/>
        <w:jc w:val="center"/>
        <w:textAlignment w:val="auto"/>
        <w:outlineLvl w:val="9"/>
        <w:rPr>
          <w:rFonts w:hint="eastAsia" w:ascii="宋体" w:hAnsi="宋体" w:eastAsia="宋体" w:cs="宋体"/>
          <w:b/>
          <w:bCs/>
          <w:spacing w:val="6"/>
          <w:sz w:val="44"/>
          <w:szCs w:val="44"/>
        </w:rPr>
      </w:pPr>
      <w:r>
        <w:rPr>
          <w:rFonts w:hint="eastAsia" w:ascii="宋体" w:hAnsi="宋体" w:eastAsia="宋体" w:cs="宋体"/>
          <w:b/>
          <w:bCs/>
          <w:spacing w:val="6"/>
          <w:sz w:val="44"/>
          <w:szCs w:val="44"/>
        </w:rPr>
        <w:t>申报要求</w:t>
      </w:r>
    </w:p>
    <w:p>
      <w:pPr>
        <w:ind w:firstLine="640" w:firstLineChars="200"/>
        <w:rPr>
          <w:rFonts w:hint="eastAsia" w:ascii="仿宋_GB2312" w:hAnsi="仿宋_GB2312" w:eastAsia="仿宋_GB2312" w:cs="仿宋_GB2312"/>
          <w:color w:val="auto"/>
          <w:sz w:val="32"/>
          <w:szCs w:val="32"/>
        </w:rPr>
      </w:pPr>
    </w:p>
    <w:p>
      <w:pPr>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1.本专项所有项目均应整体申报，须覆盖全部考核指标。如无特殊说明，每个项目下设课题不超过6个，每个项目所含单位数不超过12家。</w:t>
      </w:r>
    </w:p>
    <w:p>
      <w:pPr>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2.申报单位和</w:t>
      </w:r>
      <w:r>
        <w:rPr>
          <w:rFonts w:hint="eastAsia" w:ascii="仿宋_GB2312" w:hAnsi="仿宋_GB2312" w:eastAsia="仿宋_GB2312" w:cs="仿宋_GB2312"/>
          <w:color w:val="auto"/>
          <w:sz w:val="32"/>
          <w:szCs w:val="32"/>
          <w:lang w:eastAsia="zh-CN"/>
        </w:rPr>
        <w:t>项目（含课题）负责人</w:t>
      </w:r>
      <w:r>
        <w:rPr>
          <w:rFonts w:hint="eastAsia" w:ascii="仿宋_GB2312" w:hAnsi="仿宋_GB2312" w:eastAsia="仿宋_GB2312" w:cs="仿宋_GB2312"/>
          <w:color w:val="auto"/>
          <w:sz w:val="32"/>
          <w:szCs w:val="32"/>
        </w:rPr>
        <w:t>必须签署具有法律约束力的协议，承诺各领域项目产生的所有科学数据无条件、按期递交到科技部指定的平台，在专项约定的条件下对专项各承担单位，乃至今后面向所有的科技工作者和公众开放共享。如不签署数据递交协议，则不具备承担专项项目的资格；签署数据递交协议后而不在商定的期限内履行数据递交责任的，则由专项责令整改；拒绝整改者，则由专项追回项目资金，并予以通报。</w:t>
      </w:r>
    </w:p>
    <w:p>
      <w:pPr>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3.本专项研究涉及人类遗传资源采集、收集、买卖、出口、出境等须遵照《人类遗传资源管理暂行办法》相关规定执行。涉及实验动物和动物实验，要遵守国家实验动物管理的法律、法规、技术标准及有关规定，使用合格实验动物，在合格设施内进行动物实验，保证实验过程合法，实验结果真实、有效，并通过实验动物福利和伦理审查。</w:t>
      </w:r>
    </w:p>
    <w:p>
      <w:pPr>
        <w:ind w:firstLine="640" w:firstLineChars="200"/>
        <w:rPr>
          <w:rFonts w:hint="eastAsia" w:ascii="仿宋_GB2312" w:hAnsi="仿宋_GB2312" w:eastAsia="仿宋_GB2312" w:cs="仿宋_GB2312"/>
          <w:color w:val="auto"/>
          <w:sz w:val="32"/>
          <w:szCs w:val="32"/>
        </w:rPr>
      </w:pPr>
    </w:p>
    <w:p>
      <w:pPr>
        <w:ind w:firstLine="640" w:firstLineChars="200"/>
        <w:rPr>
          <w:rFonts w:hint="eastAsia" w:ascii="仿宋_GB2312" w:hAnsi="仿宋_GB2312" w:eastAsia="仿宋_GB2312" w:cs="仿宋_GB2312"/>
          <w:color w:val="auto"/>
          <w:sz w:val="32"/>
          <w:szCs w:val="32"/>
        </w:rPr>
      </w:pPr>
    </w:p>
    <w:sectPr>
      <w:footerReference r:id="rId3" w:type="default"/>
      <w:pgSz w:w="11906" w:h="16838"/>
      <w:pgMar w:top="1440" w:right="1800" w:bottom="1440" w:left="1800" w:header="851" w:footer="992" w:gutter="0"/>
      <w:pgNumType w:fmt="numberInDash"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Arial">
    <w:panose1 w:val="020B0604020202020204"/>
    <w:charset w:val="00"/>
    <w:family w:val="auto"/>
    <w:pitch w:val="default"/>
    <w:sig w:usb0="E0002AFF" w:usb1="C0007843" w:usb2="00000009" w:usb3="00000000" w:csb0="400001FF" w:csb1="FFFF0000"/>
  </w:font>
  <w:font w:name="微软雅黑">
    <w:panose1 w:val="020B0503020204020204"/>
    <w:charset w:val="86"/>
    <w:family w:val="auto"/>
    <w:pitch w:val="default"/>
    <w:sig w:usb0="80000287" w:usb1="280F3C52" w:usb2="00000016" w:usb3="00000000" w:csb0="0004001F" w:csb1="00000000"/>
  </w:font>
  <w:font w:name="楷体_GB2312">
    <w:panose1 w:val="02010609030101010101"/>
    <w:charset w:val="86"/>
    <w:family w:val="auto"/>
    <w:pitch w:val="default"/>
    <w:sig w:usb0="00000001" w:usb1="080E0000" w:usb2="00000000" w:usb3="00000000" w:csb0="00040000" w:csb1="00000000"/>
  </w:font>
  <w:font w:name="长城小标宋体">
    <w:panose1 w:val="02010609010101010101"/>
    <w:charset w:val="86"/>
    <w:family w:val="modern"/>
    <w:pitch w:val="default"/>
    <w:sig w:usb0="00000000" w:usb1="00000000" w:usb2="00000000" w:usb3="00000000" w:csb0="00000000" w:csb1="00000000"/>
  </w:font>
  <w:font w:name="lucida Grand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Calibri Light">
    <w:altName w:val="Calibri"/>
    <w:panose1 w:val="020F0302020204030204"/>
    <w:charset w:val="00"/>
    <w:family w:val="swiss"/>
    <w:pitch w:val="default"/>
    <w:sig w:usb0="00000000" w:usb1="00000000" w:usb2="00000009" w:usb3="00000000" w:csb0="000001FF" w:csb1="00000000"/>
  </w:font>
  <w:font w:name="等线">
    <w:altName w:val="宋体"/>
    <w:panose1 w:val="02010600030101010101"/>
    <w:charset w:val="86"/>
    <w:family w:val="auto"/>
    <w:pitch w:val="default"/>
    <w:sig w:usb0="00000000" w:usb1="00000000" w:usb2="00000016" w:usb3="00000000" w:csb0="0004000F" w:csb1="00000000"/>
  </w:font>
  <w:font w:name="等线 Light">
    <w:altName w:val="宋体"/>
    <w:panose1 w:val="02010600030101010101"/>
    <w:charset w:val="86"/>
    <w:family w:val="auto"/>
    <w:pitch w:val="default"/>
    <w:sig w:usb0="00000000" w:usb1="00000000" w:usb2="00000016" w:usb3="00000000" w:csb0="0004000F" w:csb1="00000000"/>
  </w:font>
  <w:font w:name="等线">
    <w:altName w:val="Segoe Print"/>
    <w:panose1 w:val="00000000000000000000"/>
    <w:charset w:val="00"/>
    <w:family w:val="auto"/>
    <w:pitch w:val="default"/>
    <w:sig w:usb0="00000000" w:usb1="00000000" w:usb2="00000000" w:usb3="00000000" w:csb0="00000000" w:csb1="00000000"/>
  </w:font>
  <w:font w:name="Adobe 楷体 Std R">
    <w:altName w:val="楷体_GB2312"/>
    <w:panose1 w:val="02020400000000000000"/>
    <w:charset w:val="86"/>
    <w:family w:val="roman"/>
    <w:pitch w:val="default"/>
    <w:sig w:usb0="00000000" w:usb1="00000000" w:usb2="00000016" w:usb3="00000000" w:csb0="00060007" w:csb1="00000000"/>
  </w:font>
  <w:font w:name="Microsoft Uighur">
    <w:panose1 w:val="02000000000000000000"/>
    <w:charset w:val="00"/>
    <w:family w:val="auto"/>
    <w:pitch w:val="default"/>
    <w:sig w:usb0="00002003" w:usb1="80000000" w:usb2="00000008" w:usb3="00000000" w:csb0="00000041" w:csb1="00000000"/>
  </w:font>
  <w:font w:name="华文宋体">
    <w:altName w:val="宋体"/>
    <w:panose1 w:val="02010600040101010101"/>
    <w:charset w:val="86"/>
    <w:family w:val="auto"/>
    <w:pitch w:val="default"/>
    <w:sig w:usb0="00000000" w:usb1="00000000" w:usb2="00000000" w:usb3="00000000" w:csb0="0004009F" w:csb1="DFD70000"/>
  </w:font>
  <w:font w:name="长城小标宋体">
    <w:panose1 w:val="02010609010101010101"/>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jc w:val="center"/>
    </w:pPr>
    <w:r>
      <w:rPr>
        <w:sz w:val="18"/>
      </w:rPr>
      <mc:AlternateContent>
        <mc:Choice Requires="wps">
          <w:drawing>
            <wp:anchor distT="0" distB="0" distL="114300" distR="114300" simplePos="0" relativeHeight="251658240"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6"/>
                            <w:jc w:val="center"/>
                            <w:rPr>
                              <w:rFonts w:hint="default" w:ascii="Times New Roman" w:hAnsi="Times New Roman" w:cs="Times New Roman"/>
                              <w:sz w:val="32"/>
                              <w:szCs w:val="32"/>
                            </w:rPr>
                          </w:pPr>
                          <w:r>
                            <w:rPr>
                              <w:rFonts w:hint="default" w:ascii="Times New Roman" w:hAnsi="Times New Roman" w:cs="Times New Roman"/>
                              <w:sz w:val="32"/>
                              <w:szCs w:val="32"/>
                            </w:rPr>
                            <w:fldChar w:fldCharType="begin"/>
                          </w:r>
                          <w:r>
                            <w:rPr>
                              <w:rFonts w:hint="default" w:ascii="Times New Roman" w:hAnsi="Times New Roman" w:cs="Times New Roman"/>
                              <w:sz w:val="32"/>
                              <w:szCs w:val="32"/>
                            </w:rPr>
                            <w:instrText xml:space="preserve">PAGE   \* MERGEFORMAT</w:instrText>
                          </w:r>
                          <w:r>
                            <w:rPr>
                              <w:rFonts w:hint="default" w:ascii="Times New Roman" w:hAnsi="Times New Roman" w:cs="Times New Roman"/>
                              <w:sz w:val="32"/>
                              <w:szCs w:val="32"/>
                            </w:rPr>
                            <w:fldChar w:fldCharType="separate"/>
                          </w:r>
                          <w:r>
                            <w:rPr>
                              <w:rFonts w:hint="default" w:ascii="Times New Roman" w:hAnsi="Times New Roman" w:cs="Times New Roman"/>
                              <w:sz w:val="32"/>
                              <w:szCs w:val="32"/>
                              <w:lang w:val="zh-CN"/>
                            </w:rPr>
                            <w:t>21</w:t>
                          </w:r>
                          <w:r>
                            <w:rPr>
                              <w:rFonts w:hint="default" w:ascii="Times New Roman" w:hAnsi="Times New Roman" w:cs="Times New Roman"/>
                              <w:sz w:val="32"/>
                              <w:szCs w:val="32"/>
                              <w:lang w:val="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16"/>
                      <w:jc w:val="center"/>
                      <w:rPr>
                        <w:rFonts w:hint="default" w:ascii="Times New Roman" w:hAnsi="Times New Roman" w:cs="Times New Roman"/>
                        <w:sz w:val="32"/>
                        <w:szCs w:val="32"/>
                      </w:rPr>
                    </w:pPr>
                    <w:r>
                      <w:rPr>
                        <w:rFonts w:hint="default" w:ascii="Times New Roman" w:hAnsi="Times New Roman" w:cs="Times New Roman"/>
                        <w:sz w:val="32"/>
                        <w:szCs w:val="32"/>
                      </w:rPr>
                      <w:fldChar w:fldCharType="begin"/>
                    </w:r>
                    <w:r>
                      <w:rPr>
                        <w:rFonts w:hint="default" w:ascii="Times New Roman" w:hAnsi="Times New Roman" w:cs="Times New Roman"/>
                        <w:sz w:val="32"/>
                        <w:szCs w:val="32"/>
                      </w:rPr>
                      <w:instrText xml:space="preserve">PAGE   \* MERGEFORMAT</w:instrText>
                    </w:r>
                    <w:r>
                      <w:rPr>
                        <w:rFonts w:hint="default" w:ascii="Times New Roman" w:hAnsi="Times New Roman" w:cs="Times New Roman"/>
                        <w:sz w:val="32"/>
                        <w:szCs w:val="32"/>
                      </w:rPr>
                      <w:fldChar w:fldCharType="separate"/>
                    </w:r>
                    <w:r>
                      <w:rPr>
                        <w:rFonts w:hint="default" w:ascii="Times New Roman" w:hAnsi="Times New Roman" w:cs="Times New Roman"/>
                        <w:sz w:val="32"/>
                        <w:szCs w:val="32"/>
                        <w:lang w:val="zh-CN"/>
                      </w:rPr>
                      <w:t>21</w:t>
                    </w:r>
                    <w:r>
                      <w:rPr>
                        <w:rFonts w:hint="default" w:ascii="Times New Roman" w:hAnsi="Times New Roman" w:cs="Times New Roman"/>
                        <w:sz w:val="32"/>
                        <w:szCs w:val="32"/>
                        <w:lang w:val="zh-CN"/>
                      </w:rPr>
                      <w:fldChar w:fldCharType="end"/>
                    </w:r>
                  </w:p>
                </w:txbxContent>
              </v:textbox>
            </v:shape>
          </w:pict>
        </mc:Fallback>
      </mc:AlternateContent>
    </w:r>
  </w:p>
  <w:p>
    <w:pPr>
      <w:pStyle w:val="16"/>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013F"/>
    <w:rsid w:val="00004493"/>
    <w:rsid w:val="000066EE"/>
    <w:rsid w:val="00007A5D"/>
    <w:rsid w:val="000124EF"/>
    <w:rsid w:val="0001515A"/>
    <w:rsid w:val="0001561B"/>
    <w:rsid w:val="000210C0"/>
    <w:rsid w:val="0002164D"/>
    <w:rsid w:val="00031CF8"/>
    <w:rsid w:val="000326D3"/>
    <w:rsid w:val="00033A82"/>
    <w:rsid w:val="00036A97"/>
    <w:rsid w:val="00042295"/>
    <w:rsid w:val="00044A10"/>
    <w:rsid w:val="000479A9"/>
    <w:rsid w:val="00050A2A"/>
    <w:rsid w:val="0005539F"/>
    <w:rsid w:val="000558D2"/>
    <w:rsid w:val="000564B6"/>
    <w:rsid w:val="0005689D"/>
    <w:rsid w:val="0006272A"/>
    <w:rsid w:val="00063AEF"/>
    <w:rsid w:val="00067C1C"/>
    <w:rsid w:val="00067FFD"/>
    <w:rsid w:val="00070BE2"/>
    <w:rsid w:val="00071BB6"/>
    <w:rsid w:val="000767F8"/>
    <w:rsid w:val="00084210"/>
    <w:rsid w:val="0008517E"/>
    <w:rsid w:val="00086947"/>
    <w:rsid w:val="00087F78"/>
    <w:rsid w:val="0009302E"/>
    <w:rsid w:val="00095D35"/>
    <w:rsid w:val="00097EA5"/>
    <w:rsid w:val="000A2895"/>
    <w:rsid w:val="000A5D76"/>
    <w:rsid w:val="000A607E"/>
    <w:rsid w:val="000B30E3"/>
    <w:rsid w:val="000B3738"/>
    <w:rsid w:val="000B6853"/>
    <w:rsid w:val="000B78E5"/>
    <w:rsid w:val="000C02B7"/>
    <w:rsid w:val="000C07C1"/>
    <w:rsid w:val="000C1E37"/>
    <w:rsid w:val="000C3856"/>
    <w:rsid w:val="000D06A0"/>
    <w:rsid w:val="000D2C83"/>
    <w:rsid w:val="000D32FA"/>
    <w:rsid w:val="000D44A7"/>
    <w:rsid w:val="000E19D4"/>
    <w:rsid w:val="000E2829"/>
    <w:rsid w:val="000E2FEB"/>
    <w:rsid w:val="000E32BB"/>
    <w:rsid w:val="000E57A4"/>
    <w:rsid w:val="000F6494"/>
    <w:rsid w:val="000F69D7"/>
    <w:rsid w:val="00101998"/>
    <w:rsid w:val="00102CCB"/>
    <w:rsid w:val="00105475"/>
    <w:rsid w:val="00105741"/>
    <w:rsid w:val="001057C6"/>
    <w:rsid w:val="0010613D"/>
    <w:rsid w:val="001069C4"/>
    <w:rsid w:val="00106F5C"/>
    <w:rsid w:val="00110D34"/>
    <w:rsid w:val="0011118A"/>
    <w:rsid w:val="00116E20"/>
    <w:rsid w:val="001174ED"/>
    <w:rsid w:val="0012242B"/>
    <w:rsid w:val="00126A1B"/>
    <w:rsid w:val="00127035"/>
    <w:rsid w:val="001271A9"/>
    <w:rsid w:val="00127EBF"/>
    <w:rsid w:val="001308AF"/>
    <w:rsid w:val="0013207F"/>
    <w:rsid w:val="001355AE"/>
    <w:rsid w:val="001430D6"/>
    <w:rsid w:val="00144093"/>
    <w:rsid w:val="001479AF"/>
    <w:rsid w:val="00151F65"/>
    <w:rsid w:val="00153861"/>
    <w:rsid w:val="001605E2"/>
    <w:rsid w:val="00160AFF"/>
    <w:rsid w:val="0017129D"/>
    <w:rsid w:val="00171DE1"/>
    <w:rsid w:val="00173E7F"/>
    <w:rsid w:val="0017416D"/>
    <w:rsid w:val="001744AF"/>
    <w:rsid w:val="00174577"/>
    <w:rsid w:val="00181608"/>
    <w:rsid w:val="001909A0"/>
    <w:rsid w:val="00192D28"/>
    <w:rsid w:val="0019590C"/>
    <w:rsid w:val="0019704B"/>
    <w:rsid w:val="00197673"/>
    <w:rsid w:val="001A0E5D"/>
    <w:rsid w:val="001A3D69"/>
    <w:rsid w:val="001B0470"/>
    <w:rsid w:val="001B3E31"/>
    <w:rsid w:val="001B41CB"/>
    <w:rsid w:val="001C1A0A"/>
    <w:rsid w:val="001D06C3"/>
    <w:rsid w:val="001D2051"/>
    <w:rsid w:val="001D2081"/>
    <w:rsid w:val="001D2A1E"/>
    <w:rsid w:val="001D2E5B"/>
    <w:rsid w:val="001D4549"/>
    <w:rsid w:val="001D54F5"/>
    <w:rsid w:val="001E5F7C"/>
    <w:rsid w:val="001E60FA"/>
    <w:rsid w:val="001E7A1F"/>
    <w:rsid w:val="001E7FF8"/>
    <w:rsid w:val="001F3BAA"/>
    <w:rsid w:val="001F50CD"/>
    <w:rsid w:val="00200042"/>
    <w:rsid w:val="00200B89"/>
    <w:rsid w:val="002019E9"/>
    <w:rsid w:val="00201A60"/>
    <w:rsid w:val="002059E0"/>
    <w:rsid w:val="002104DA"/>
    <w:rsid w:val="00211A1E"/>
    <w:rsid w:val="00215295"/>
    <w:rsid w:val="00215FD2"/>
    <w:rsid w:val="0021790C"/>
    <w:rsid w:val="002267C6"/>
    <w:rsid w:val="00226F81"/>
    <w:rsid w:val="002417F9"/>
    <w:rsid w:val="00244439"/>
    <w:rsid w:val="00244799"/>
    <w:rsid w:val="002467BD"/>
    <w:rsid w:val="002567BC"/>
    <w:rsid w:val="00263898"/>
    <w:rsid w:val="00264F00"/>
    <w:rsid w:val="00265B66"/>
    <w:rsid w:val="00272B90"/>
    <w:rsid w:val="002746D9"/>
    <w:rsid w:val="00275860"/>
    <w:rsid w:val="00280205"/>
    <w:rsid w:val="00282B82"/>
    <w:rsid w:val="002846C5"/>
    <w:rsid w:val="0028521C"/>
    <w:rsid w:val="00285645"/>
    <w:rsid w:val="0028757B"/>
    <w:rsid w:val="00291241"/>
    <w:rsid w:val="00291B75"/>
    <w:rsid w:val="00293B4E"/>
    <w:rsid w:val="00294E6E"/>
    <w:rsid w:val="00296178"/>
    <w:rsid w:val="002962CE"/>
    <w:rsid w:val="002A4448"/>
    <w:rsid w:val="002A57DE"/>
    <w:rsid w:val="002B30C0"/>
    <w:rsid w:val="002B4371"/>
    <w:rsid w:val="002B6080"/>
    <w:rsid w:val="002B6BA4"/>
    <w:rsid w:val="002B6F42"/>
    <w:rsid w:val="002C4BBB"/>
    <w:rsid w:val="002C4F3F"/>
    <w:rsid w:val="002D03C3"/>
    <w:rsid w:val="002D0A56"/>
    <w:rsid w:val="002E6097"/>
    <w:rsid w:val="002F6157"/>
    <w:rsid w:val="0030170D"/>
    <w:rsid w:val="00301907"/>
    <w:rsid w:val="003023DC"/>
    <w:rsid w:val="003038DC"/>
    <w:rsid w:val="00304C86"/>
    <w:rsid w:val="00307893"/>
    <w:rsid w:val="00310438"/>
    <w:rsid w:val="003127A1"/>
    <w:rsid w:val="00315495"/>
    <w:rsid w:val="00323A03"/>
    <w:rsid w:val="00327548"/>
    <w:rsid w:val="00334CBC"/>
    <w:rsid w:val="00337738"/>
    <w:rsid w:val="00341DF7"/>
    <w:rsid w:val="0034211F"/>
    <w:rsid w:val="00343661"/>
    <w:rsid w:val="00345958"/>
    <w:rsid w:val="00346AA7"/>
    <w:rsid w:val="00347209"/>
    <w:rsid w:val="00353310"/>
    <w:rsid w:val="00354D4B"/>
    <w:rsid w:val="003558AE"/>
    <w:rsid w:val="003558CF"/>
    <w:rsid w:val="0036357F"/>
    <w:rsid w:val="00366943"/>
    <w:rsid w:val="003708F1"/>
    <w:rsid w:val="003739FA"/>
    <w:rsid w:val="00373FE7"/>
    <w:rsid w:val="00380BE3"/>
    <w:rsid w:val="00381FE4"/>
    <w:rsid w:val="00382AFE"/>
    <w:rsid w:val="00383A09"/>
    <w:rsid w:val="00383D2E"/>
    <w:rsid w:val="003859AA"/>
    <w:rsid w:val="00386A24"/>
    <w:rsid w:val="00395DD8"/>
    <w:rsid w:val="003A189C"/>
    <w:rsid w:val="003A3C4E"/>
    <w:rsid w:val="003A3D58"/>
    <w:rsid w:val="003A45CE"/>
    <w:rsid w:val="003A77A2"/>
    <w:rsid w:val="003B4A2A"/>
    <w:rsid w:val="003B669E"/>
    <w:rsid w:val="003B695E"/>
    <w:rsid w:val="003B761E"/>
    <w:rsid w:val="003C140D"/>
    <w:rsid w:val="003C2322"/>
    <w:rsid w:val="003D2A34"/>
    <w:rsid w:val="003D34D7"/>
    <w:rsid w:val="003D4B1C"/>
    <w:rsid w:val="003D66DE"/>
    <w:rsid w:val="003E046D"/>
    <w:rsid w:val="003E11BD"/>
    <w:rsid w:val="003E32C8"/>
    <w:rsid w:val="003E3D2A"/>
    <w:rsid w:val="003E669F"/>
    <w:rsid w:val="003F3A22"/>
    <w:rsid w:val="003F4425"/>
    <w:rsid w:val="003F5E58"/>
    <w:rsid w:val="00401B56"/>
    <w:rsid w:val="004038E3"/>
    <w:rsid w:val="00410230"/>
    <w:rsid w:val="00411FE6"/>
    <w:rsid w:val="0041367F"/>
    <w:rsid w:val="004145A2"/>
    <w:rsid w:val="00416FDF"/>
    <w:rsid w:val="00417EBB"/>
    <w:rsid w:val="00424B5A"/>
    <w:rsid w:val="00424CD5"/>
    <w:rsid w:val="00425482"/>
    <w:rsid w:val="00426DC9"/>
    <w:rsid w:val="00426E4E"/>
    <w:rsid w:val="00430586"/>
    <w:rsid w:val="00433D0E"/>
    <w:rsid w:val="00435CF9"/>
    <w:rsid w:val="00436C5E"/>
    <w:rsid w:val="004371D0"/>
    <w:rsid w:val="004406BD"/>
    <w:rsid w:val="004425A0"/>
    <w:rsid w:val="00442D12"/>
    <w:rsid w:val="00445B1C"/>
    <w:rsid w:val="004460D8"/>
    <w:rsid w:val="004463F0"/>
    <w:rsid w:val="004476F4"/>
    <w:rsid w:val="00451DEC"/>
    <w:rsid w:val="004576CB"/>
    <w:rsid w:val="0046355B"/>
    <w:rsid w:val="00466092"/>
    <w:rsid w:val="00467CAF"/>
    <w:rsid w:val="004717ED"/>
    <w:rsid w:val="00473564"/>
    <w:rsid w:val="00474EB2"/>
    <w:rsid w:val="00475AB9"/>
    <w:rsid w:val="00482B91"/>
    <w:rsid w:val="00482CBC"/>
    <w:rsid w:val="00484286"/>
    <w:rsid w:val="00484622"/>
    <w:rsid w:val="00484A16"/>
    <w:rsid w:val="00486D70"/>
    <w:rsid w:val="00491FC5"/>
    <w:rsid w:val="00494955"/>
    <w:rsid w:val="004A44D6"/>
    <w:rsid w:val="004A53B5"/>
    <w:rsid w:val="004A65BD"/>
    <w:rsid w:val="004B5438"/>
    <w:rsid w:val="004B7930"/>
    <w:rsid w:val="004C3BBA"/>
    <w:rsid w:val="004C40B0"/>
    <w:rsid w:val="004C43AE"/>
    <w:rsid w:val="004C56FC"/>
    <w:rsid w:val="004C587D"/>
    <w:rsid w:val="004C5A8E"/>
    <w:rsid w:val="004D0914"/>
    <w:rsid w:val="004D54FA"/>
    <w:rsid w:val="004D6A26"/>
    <w:rsid w:val="004D6B39"/>
    <w:rsid w:val="004E2A11"/>
    <w:rsid w:val="004E4E8B"/>
    <w:rsid w:val="004F074C"/>
    <w:rsid w:val="004F55C7"/>
    <w:rsid w:val="004F576A"/>
    <w:rsid w:val="004F712E"/>
    <w:rsid w:val="0050276C"/>
    <w:rsid w:val="00503145"/>
    <w:rsid w:val="00503EBA"/>
    <w:rsid w:val="005124B9"/>
    <w:rsid w:val="005127B9"/>
    <w:rsid w:val="005135C6"/>
    <w:rsid w:val="00514108"/>
    <w:rsid w:val="00514208"/>
    <w:rsid w:val="005145CC"/>
    <w:rsid w:val="00515BC2"/>
    <w:rsid w:val="00517EB7"/>
    <w:rsid w:val="00522759"/>
    <w:rsid w:val="00524948"/>
    <w:rsid w:val="00526DD8"/>
    <w:rsid w:val="00533FF0"/>
    <w:rsid w:val="0053610C"/>
    <w:rsid w:val="00536282"/>
    <w:rsid w:val="00537736"/>
    <w:rsid w:val="00540890"/>
    <w:rsid w:val="00544CE9"/>
    <w:rsid w:val="00545086"/>
    <w:rsid w:val="00550BB8"/>
    <w:rsid w:val="00551665"/>
    <w:rsid w:val="0055345F"/>
    <w:rsid w:val="005536DC"/>
    <w:rsid w:val="00560805"/>
    <w:rsid w:val="005632D4"/>
    <w:rsid w:val="00563FEC"/>
    <w:rsid w:val="005649D2"/>
    <w:rsid w:val="00566CAF"/>
    <w:rsid w:val="0056771F"/>
    <w:rsid w:val="00570E9E"/>
    <w:rsid w:val="00572DF9"/>
    <w:rsid w:val="00583B55"/>
    <w:rsid w:val="00584160"/>
    <w:rsid w:val="00584C50"/>
    <w:rsid w:val="005865C4"/>
    <w:rsid w:val="00586F80"/>
    <w:rsid w:val="00592411"/>
    <w:rsid w:val="00595C22"/>
    <w:rsid w:val="005963AC"/>
    <w:rsid w:val="00596B7B"/>
    <w:rsid w:val="00597317"/>
    <w:rsid w:val="005B06DF"/>
    <w:rsid w:val="005B361D"/>
    <w:rsid w:val="005B39C0"/>
    <w:rsid w:val="005B6939"/>
    <w:rsid w:val="005C156E"/>
    <w:rsid w:val="005C1F0A"/>
    <w:rsid w:val="005C25FC"/>
    <w:rsid w:val="005D41C9"/>
    <w:rsid w:val="005D759B"/>
    <w:rsid w:val="005E28BA"/>
    <w:rsid w:val="005E2924"/>
    <w:rsid w:val="005E328F"/>
    <w:rsid w:val="005E418F"/>
    <w:rsid w:val="005E6B15"/>
    <w:rsid w:val="005E743C"/>
    <w:rsid w:val="005E74E8"/>
    <w:rsid w:val="005F182B"/>
    <w:rsid w:val="005F3124"/>
    <w:rsid w:val="005F50F5"/>
    <w:rsid w:val="005F58B4"/>
    <w:rsid w:val="00602BC7"/>
    <w:rsid w:val="0060399D"/>
    <w:rsid w:val="00604541"/>
    <w:rsid w:val="00604E88"/>
    <w:rsid w:val="006050B1"/>
    <w:rsid w:val="006057EA"/>
    <w:rsid w:val="0060773C"/>
    <w:rsid w:val="006120C0"/>
    <w:rsid w:val="006157B3"/>
    <w:rsid w:val="00621E6B"/>
    <w:rsid w:val="0062358D"/>
    <w:rsid w:val="00625736"/>
    <w:rsid w:val="00625926"/>
    <w:rsid w:val="00627ACC"/>
    <w:rsid w:val="006307DA"/>
    <w:rsid w:val="00630FFE"/>
    <w:rsid w:val="00631B97"/>
    <w:rsid w:val="0063289E"/>
    <w:rsid w:val="006414D9"/>
    <w:rsid w:val="00642900"/>
    <w:rsid w:val="00643F71"/>
    <w:rsid w:val="00650C81"/>
    <w:rsid w:val="00650D84"/>
    <w:rsid w:val="006513BD"/>
    <w:rsid w:val="006559D7"/>
    <w:rsid w:val="00656FD4"/>
    <w:rsid w:val="00660211"/>
    <w:rsid w:val="00661751"/>
    <w:rsid w:val="00661CE6"/>
    <w:rsid w:val="006626A9"/>
    <w:rsid w:val="00670B21"/>
    <w:rsid w:val="00672CC2"/>
    <w:rsid w:val="00672DB2"/>
    <w:rsid w:val="00675785"/>
    <w:rsid w:val="00677FAB"/>
    <w:rsid w:val="006828B6"/>
    <w:rsid w:val="0068454C"/>
    <w:rsid w:val="00687930"/>
    <w:rsid w:val="00692400"/>
    <w:rsid w:val="0069688B"/>
    <w:rsid w:val="00696F3F"/>
    <w:rsid w:val="006A2601"/>
    <w:rsid w:val="006A2EEE"/>
    <w:rsid w:val="006A34E6"/>
    <w:rsid w:val="006B02E0"/>
    <w:rsid w:val="006B04AF"/>
    <w:rsid w:val="006B0F21"/>
    <w:rsid w:val="006B51EC"/>
    <w:rsid w:val="006B5885"/>
    <w:rsid w:val="006B5BA9"/>
    <w:rsid w:val="006C482E"/>
    <w:rsid w:val="006C5D20"/>
    <w:rsid w:val="006C6712"/>
    <w:rsid w:val="006D145C"/>
    <w:rsid w:val="006D169B"/>
    <w:rsid w:val="006D34F0"/>
    <w:rsid w:val="006D4051"/>
    <w:rsid w:val="006D4B1F"/>
    <w:rsid w:val="006D66D5"/>
    <w:rsid w:val="006D7C59"/>
    <w:rsid w:val="006E1EC4"/>
    <w:rsid w:val="006E5072"/>
    <w:rsid w:val="006E6FEB"/>
    <w:rsid w:val="006E77CE"/>
    <w:rsid w:val="006E7ACC"/>
    <w:rsid w:val="006F1955"/>
    <w:rsid w:val="006F56F4"/>
    <w:rsid w:val="00700CBF"/>
    <w:rsid w:val="00701C63"/>
    <w:rsid w:val="00707040"/>
    <w:rsid w:val="007118F0"/>
    <w:rsid w:val="00717A13"/>
    <w:rsid w:val="00717F1D"/>
    <w:rsid w:val="00721D2A"/>
    <w:rsid w:val="00723C84"/>
    <w:rsid w:val="00726946"/>
    <w:rsid w:val="00727ECE"/>
    <w:rsid w:val="00732A93"/>
    <w:rsid w:val="007358FA"/>
    <w:rsid w:val="007360C3"/>
    <w:rsid w:val="007369AB"/>
    <w:rsid w:val="007373F8"/>
    <w:rsid w:val="00737464"/>
    <w:rsid w:val="007410B0"/>
    <w:rsid w:val="00741774"/>
    <w:rsid w:val="007438F7"/>
    <w:rsid w:val="00745010"/>
    <w:rsid w:val="00746C6C"/>
    <w:rsid w:val="00747A9C"/>
    <w:rsid w:val="00750ACC"/>
    <w:rsid w:val="00753A32"/>
    <w:rsid w:val="00757AEF"/>
    <w:rsid w:val="007660B3"/>
    <w:rsid w:val="00766340"/>
    <w:rsid w:val="00771BEB"/>
    <w:rsid w:val="00773D12"/>
    <w:rsid w:val="00777A6E"/>
    <w:rsid w:val="00781E4A"/>
    <w:rsid w:val="007878C3"/>
    <w:rsid w:val="00793ECC"/>
    <w:rsid w:val="00797191"/>
    <w:rsid w:val="007A26D5"/>
    <w:rsid w:val="007A2CC4"/>
    <w:rsid w:val="007A5DB2"/>
    <w:rsid w:val="007A78A4"/>
    <w:rsid w:val="007B5458"/>
    <w:rsid w:val="007B71A0"/>
    <w:rsid w:val="007D25C8"/>
    <w:rsid w:val="007D508C"/>
    <w:rsid w:val="007E1081"/>
    <w:rsid w:val="007E2C76"/>
    <w:rsid w:val="007E4E27"/>
    <w:rsid w:val="007E55CD"/>
    <w:rsid w:val="007E5621"/>
    <w:rsid w:val="007E6E61"/>
    <w:rsid w:val="007F06D2"/>
    <w:rsid w:val="007F0E31"/>
    <w:rsid w:val="007F1A2B"/>
    <w:rsid w:val="007F37BF"/>
    <w:rsid w:val="007F39B9"/>
    <w:rsid w:val="007F567D"/>
    <w:rsid w:val="007F6B89"/>
    <w:rsid w:val="00800548"/>
    <w:rsid w:val="008013F7"/>
    <w:rsid w:val="00801F3A"/>
    <w:rsid w:val="00802C7B"/>
    <w:rsid w:val="00803CF3"/>
    <w:rsid w:val="00807856"/>
    <w:rsid w:val="008079F2"/>
    <w:rsid w:val="00812EB0"/>
    <w:rsid w:val="00813831"/>
    <w:rsid w:val="00813CD9"/>
    <w:rsid w:val="0081552F"/>
    <w:rsid w:val="00820FE8"/>
    <w:rsid w:val="00835808"/>
    <w:rsid w:val="00835AF1"/>
    <w:rsid w:val="00836079"/>
    <w:rsid w:val="00841640"/>
    <w:rsid w:val="008461EF"/>
    <w:rsid w:val="0084710E"/>
    <w:rsid w:val="008515AE"/>
    <w:rsid w:val="00853924"/>
    <w:rsid w:val="008567E8"/>
    <w:rsid w:val="00856FD1"/>
    <w:rsid w:val="00864BDB"/>
    <w:rsid w:val="00870C77"/>
    <w:rsid w:val="0087308F"/>
    <w:rsid w:val="008732FA"/>
    <w:rsid w:val="00875829"/>
    <w:rsid w:val="00876197"/>
    <w:rsid w:val="008772A0"/>
    <w:rsid w:val="00890941"/>
    <w:rsid w:val="00891AA8"/>
    <w:rsid w:val="00892620"/>
    <w:rsid w:val="00892A9F"/>
    <w:rsid w:val="00892C05"/>
    <w:rsid w:val="00895F64"/>
    <w:rsid w:val="00895FCF"/>
    <w:rsid w:val="00897EFA"/>
    <w:rsid w:val="008A0595"/>
    <w:rsid w:val="008A1F27"/>
    <w:rsid w:val="008A1F31"/>
    <w:rsid w:val="008A3B55"/>
    <w:rsid w:val="008A492F"/>
    <w:rsid w:val="008A55C0"/>
    <w:rsid w:val="008A5E3F"/>
    <w:rsid w:val="008A7018"/>
    <w:rsid w:val="008A71C6"/>
    <w:rsid w:val="008B1ED3"/>
    <w:rsid w:val="008B455E"/>
    <w:rsid w:val="008C03DB"/>
    <w:rsid w:val="008C0BFE"/>
    <w:rsid w:val="008C3F88"/>
    <w:rsid w:val="008D2835"/>
    <w:rsid w:val="008D2FBE"/>
    <w:rsid w:val="008D3C7F"/>
    <w:rsid w:val="008D3F96"/>
    <w:rsid w:val="008D6AA1"/>
    <w:rsid w:val="008D7486"/>
    <w:rsid w:val="008E2A8B"/>
    <w:rsid w:val="008E3E43"/>
    <w:rsid w:val="008E3F51"/>
    <w:rsid w:val="008F650E"/>
    <w:rsid w:val="008F7163"/>
    <w:rsid w:val="0090238D"/>
    <w:rsid w:val="009023D5"/>
    <w:rsid w:val="00906A0A"/>
    <w:rsid w:val="00906D06"/>
    <w:rsid w:val="00907C38"/>
    <w:rsid w:val="00910279"/>
    <w:rsid w:val="00910C52"/>
    <w:rsid w:val="00911E7C"/>
    <w:rsid w:val="00915251"/>
    <w:rsid w:val="00917D69"/>
    <w:rsid w:val="0092319F"/>
    <w:rsid w:val="00923277"/>
    <w:rsid w:val="00925B7B"/>
    <w:rsid w:val="0093352F"/>
    <w:rsid w:val="00933589"/>
    <w:rsid w:val="0093405C"/>
    <w:rsid w:val="009358AC"/>
    <w:rsid w:val="00935AB2"/>
    <w:rsid w:val="00935D38"/>
    <w:rsid w:val="00936840"/>
    <w:rsid w:val="00940526"/>
    <w:rsid w:val="009418FD"/>
    <w:rsid w:val="009419B4"/>
    <w:rsid w:val="00942719"/>
    <w:rsid w:val="00942D2A"/>
    <w:rsid w:val="00943FC4"/>
    <w:rsid w:val="00944E82"/>
    <w:rsid w:val="0094588F"/>
    <w:rsid w:val="00947B9A"/>
    <w:rsid w:val="00952A8E"/>
    <w:rsid w:val="009636E2"/>
    <w:rsid w:val="00974649"/>
    <w:rsid w:val="00974B86"/>
    <w:rsid w:val="0097541E"/>
    <w:rsid w:val="00980BD6"/>
    <w:rsid w:val="00982656"/>
    <w:rsid w:val="0098278F"/>
    <w:rsid w:val="00982F58"/>
    <w:rsid w:val="0098743E"/>
    <w:rsid w:val="00993941"/>
    <w:rsid w:val="00995CC1"/>
    <w:rsid w:val="009A3D32"/>
    <w:rsid w:val="009A5ABC"/>
    <w:rsid w:val="009A7CF4"/>
    <w:rsid w:val="009B238C"/>
    <w:rsid w:val="009B26EF"/>
    <w:rsid w:val="009B274E"/>
    <w:rsid w:val="009B6F03"/>
    <w:rsid w:val="009C1065"/>
    <w:rsid w:val="009C442D"/>
    <w:rsid w:val="009D1B05"/>
    <w:rsid w:val="009D4D82"/>
    <w:rsid w:val="009D4DDE"/>
    <w:rsid w:val="009E21E1"/>
    <w:rsid w:val="009E49FF"/>
    <w:rsid w:val="009F3D85"/>
    <w:rsid w:val="009F6E09"/>
    <w:rsid w:val="009F70A3"/>
    <w:rsid w:val="009F7EC4"/>
    <w:rsid w:val="00A0493E"/>
    <w:rsid w:val="00A05BE8"/>
    <w:rsid w:val="00A111F8"/>
    <w:rsid w:val="00A13F8F"/>
    <w:rsid w:val="00A154E3"/>
    <w:rsid w:val="00A21D7E"/>
    <w:rsid w:val="00A25396"/>
    <w:rsid w:val="00A34875"/>
    <w:rsid w:val="00A35E69"/>
    <w:rsid w:val="00A37A57"/>
    <w:rsid w:val="00A40C98"/>
    <w:rsid w:val="00A43F07"/>
    <w:rsid w:val="00A448AA"/>
    <w:rsid w:val="00A478DC"/>
    <w:rsid w:val="00A47E2E"/>
    <w:rsid w:val="00A500CA"/>
    <w:rsid w:val="00A524C9"/>
    <w:rsid w:val="00A52DBC"/>
    <w:rsid w:val="00A60F04"/>
    <w:rsid w:val="00A61626"/>
    <w:rsid w:val="00A6215D"/>
    <w:rsid w:val="00A638FE"/>
    <w:rsid w:val="00A67254"/>
    <w:rsid w:val="00A6776D"/>
    <w:rsid w:val="00A74E58"/>
    <w:rsid w:val="00A75602"/>
    <w:rsid w:val="00A80A94"/>
    <w:rsid w:val="00A820F8"/>
    <w:rsid w:val="00A82E4C"/>
    <w:rsid w:val="00A83EF0"/>
    <w:rsid w:val="00A90D83"/>
    <w:rsid w:val="00A91397"/>
    <w:rsid w:val="00A9275A"/>
    <w:rsid w:val="00A950B5"/>
    <w:rsid w:val="00A95A8E"/>
    <w:rsid w:val="00A95B7A"/>
    <w:rsid w:val="00A96302"/>
    <w:rsid w:val="00A97002"/>
    <w:rsid w:val="00AA61D4"/>
    <w:rsid w:val="00AB11A4"/>
    <w:rsid w:val="00AB4757"/>
    <w:rsid w:val="00AB5970"/>
    <w:rsid w:val="00AB6106"/>
    <w:rsid w:val="00AC00FA"/>
    <w:rsid w:val="00AC485C"/>
    <w:rsid w:val="00AC4A7E"/>
    <w:rsid w:val="00AC4EAD"/>
    <w:rsid w:val="00AC61E3"/>
    <w:rsid w:val="00AC6F41"/>
    <w:rsid w:val="00AD0E32"/>
    <w:rsid w:val="00AD31A5"/>
    <w:rsid w:val="00AD331A"/>
    <w:rsid w:val="00AD3AAE"/>
    <w:rsid w:val="00AE07A9"/>
    <w:rsid w:val="00AE1534"/>
    <w:rsid w:val="00AE1785"/>
    <w:rsid w:val="00AE4A2F"/>
    <w:rsid w:val="00AE5A40"/>
    <w:rsid w:val="00AE61BE"/>
    <w:rsid w:val="00AE64A9"/>
    <w:rsid w:val="00AF0959"/>
    <w:rsid w:val="00AF1166"/>
    <w:rsid w:val="00AF22C4"/>
    <w:rsid w:val="00AF2801"/>
    <w:rsid w:val="00AF5AEC"/>
    <w:rsid w:val="00AF65A7"/>
    <w:rsid w:val="00AF7D22"/>
    <w:rsid w:val="00B00BB5"/>
    <w:rsid w:val="00B00C1C"/>
    <w:rsid w:val="00B014DD"/>
    <w:rsid w:val="00B01530"/>
    <w:rsid w:val="00B0290C"/>
    <w:rsid w:val="00B12186"/>
    <w:rsid w:val="00B12DDB"/>
    <w:rsid w:val="00B143E1"/>
    <w:rsid w:val="00B15050"/>
    <w:rsid w:val="00B16034"/>
    <w:rsid w:val="00B167FB"/>
    <w:rsid w:val="00B2166B"/>
    <w:rsid w:val="00B220F3"/>
    <w:rsid w:val="00B2275A"/>
    <w:rsid w:val="00B234D7"/>
    <w:rsid w:val="00B27C67"/>
    <w:rsid w:val="00B3021E"/>
    <w:rsid w:val="00B30FF3"/>
    <w:rsid w:val="00B34112"/>
    <w:rsid w:val="00B34F42"/>
    <w:rsid w:val="00B37E89"/>
    <w:rsid w:val="00B408B8"/>
    <w:rsid w:val="00B419AE"/>
    <w:rsid w:val="00B41BCC"/>
    <w:rsid w:val="00B505DF"/>
    <w:rsid w:val="00B540B7"/>
    <w:rsid w:val="00B5414E"/>
    <w:rsid w:val="00B5641C"/>
    <w:rsid w:val="00B56F2D"/>
    <w:rsid w:val="00B60445"/>
    <w:rsid w:val="00B61C4D"/>
    <w:rsid w:val="00B628AB"/>
    <w:rsid w:val="00B660C6"/>
    <w:rsid w:val="00B73786"/>
    <w:rsid w:val="00B73CF0"/>
    <w:rsid w:val="00B775EE"/>
    <w:rsid w:val="00B80465"/>
    <w:rsid w:val="00B8205C"/>
    <w:rsid w:val="00B82633"/>
    <w:rsid w:val="00B866F4"/>
    <w:rsid w:val="00B9402A"/>
    <w:rsid w:val="00B96E82"/>
    <w:rsid w:val="00B97005"/>
    <w:rsid w:val="00BA0FDC"/>
    <w:rsid w:val="00BA6CB4"/>
    <w:rsid w:val="00BB010E"/>
    <w:rsid w:val="00BB3AC5"/>
    <w:rsid w:val="00BB46CE"/>
    <w:rsid w:val="00BB5AF0"/>
    <w:rsid w:val="00BB70DC"/>
    <w:rsid w:val="00BC0824"/>
    <w:rsid w:val="00BC1F96"/>
    <w:rsid w:val="00BC209F"/>
    <w:rsid w:val="00BC276C"/>
    <w:rsid w:val="00BC2E06"/>
    <w:rsid w:val="00BC308D"/>
    <w:rsid w:val="00BC4A3A"/>
    <w:rsid w:val="00BC4CBD"/>
    <w:rsid w:val="00BC56CE"/>
    <w:rsid w:val="00BD6EFD"/>
    <w:rsid w:val="00BD7DF2"/>
    <w:rsid w:val="00BD7F16"/>
    <w:rsid w:val="00BE0E09"/>
    <w:rsid w:val="00BE1F83"/>
    <w:rsid w:val="00BE3A37"/>
    <w:rsid w:val="00BE4CC6"/>
    <w:rsid w:val="00BE4CF3"/>
    <w:rsid w:val="00BE5025"/>
    <w:rsid w:val="00BE575C"/>
    <w:rsid w:val="00BE5BB8"/>
    <w:rsid w:val="00BE6C9D"/>
    <w:rsid w:val="00BF4915"/>
    <w:rsid w:val="00C0016B"/>
    <w:rsid w:val="00C00409"/>
    <w:rsid w:val="00C00D9F"/>
    <w:rsid w:val="00C06C51"/>
    <w:rsid w:val="00C1248C"/>
    <w:rsid w:val="00C24FAB"/>
    <w:rsid w:val="00C27154"/>
    <w:rsid w:val="00C32602"/>
    <w:rsid w:val="00C33170"/>
    <w:rsid w:val="00C34063"/>
    <w:rsid w:val="00C354CF"/>
    <w:rsid w:val="00C37156"/>
    <w:rsid w:val="00C379A0"/>
    <w:rsid w:val="00C40A83"/>
    <w:rsid w:val="00C45482"/>
    <w:rsid w:val="00C51796"/>
    <w:rsid w:val="00C5621B"/>
    <w:rsid w:val="00C57150"/>
    <w:rsid w:val="00C57D19"/>
    <w:rsid w:val="00C62906"/>
    <w:rsid w:val="00C66BF0"/>
    <w:rsid w:val="00C67E37"/>
    <w:rsid w:val="00C70D89"/>
    <w:rsid w:val="00C71247"/>
    <w:rsid w:val="00C728C9"/>
    <w:rsid w:val="00C74597"/>
    <w:rsid w:val="00C74AEB"/>
    <w:rsid w:val="00C752A2"/>
    <w:rsid w:val="00C8002A"/>
    <w:rsid w:val="00C81406"/>
    <w:rsid w:val="00C85593"/>
    <w:rsid w:val="00C86B09"/>
    <w:rsid w:val="00C9388E"/>
    <w:rsid w:val="00C96CE2"/>
    <w:rsid w:val="00CA0649"/>
    <w:rsid w:val="00CA31C7"/>
    <w:rsid w:val="00CA405B"/>
    <w:rsid w:val="00CA7FFB"/>
    <w:rsid w:val="00CB1C21"/>
    <w:rsid w:val="00CB52EB"/>
    <w:rsid w:val="00CB7244"/>
    <w:rsid w:val="00CC0E13"/>
    <w:rsid w:val="00CC4410"/>
    <w:rsid w:val="00CC7416"/>
    <w:rsid w:val="00CD16BF"/>
    <w:rsid w:val="00CD6074"/>
    <w:rsid w:val="00CE657F"/>
    <w:rsid w:val="00CE735E"/>
    <w:rsid w:val="00CF2F93"/>
    <w:rsid w:val="00D01028"/>
    <w:rsid w:val="00D0141F"/>
    <w:rsid w:val="00D07AB8"/>
    <w:rsid w:val="00D07CAD"/>
    <w:rsid w:val="00D10225"/>
    <w:rsid w:val="00D11F1D"/>
    <w:rsid w:val="00D12D0D"/>
    <w:rsid w:val="00D1417B"/>
    <w:rsid w:val="00D14B2C"/>
    <w:rsid w:val="00D15063"/>
    <w:rsid w:val="00D15B46"/>
    <w:rsid w:val="00D16722"/>
    <w:rsid w:val="00D16871"/>
    <w:rsid w:val="00D20007"/>
    <w:rsid w:val="00D20718"/>
    <w:rsid w:val="00D211A4"/>
    <w:rsid w:val="00D21224"/>
    <w:rsid w:val="00D23BA2"/>
    <w:rsid w:val="00D24AB8"/>
    <w:rsid w:val="00D25989"/>
    <w:rsid w:val="00D25F9B"/>
    <w:rsid w:val="00D2617F"/>
    <w:rsid w:val="00D3013F"/>
    <w:rsid w:val="00D30352"/>
    <w:rsid w:val="00D32982"/>
    <w:rsid w:val="00D360B5"/>
    <w:rsid w:val="00D36F26"/>
    <w:rsid w:val="00D37AFB"/>
    <w:rsid w:val="00D41D3C"/>
    <w:rsid w:val="00D45ADE"/>
    <w:rsid w:val="00D4789A"/>
    <w:rsid w:val="00D52A69"/>
    <w:rsid w:val="00D52C69"/>
    <w:rsid w:val="00D5409D"/>
    <w:rsid w:val="00D55F24"/>
    <w:rsid w:val="00D5649C"/>
    <w:rsid w:val="00D604ED"/>
    <w:rsid w:val="00D65706"/>
    <w:rsid w:val="00D7007A"/>
    <w:rsid w:val="00D716C1"/>
    <w:rsid w:val="00D73D1D"/>
    <w:rsid w:val="00D75F68"/>
    <w:rsid w:val="00D90898"/>
    <w:rsid w:val="00D922E9"/>
    <w:rsid w:val="00D92694"/>
    <w:rsid w:val="00D9695D"/>
    <w:rsid w:val="00DA26C0"/>
    <w:rsid w:val="00DA4CA7"/>
    <w:rsid w:val="00DA51C9"/>
    <w:rsid w:val="00DA7997"/>
    <w:rsid w:val="00DB1B6A"/>
    <w:rsid w:val="00DB572D"/>
    <w:rsid w:val="00DC296C"/>
    <w:rsid w:val="00DC2F9D"/>
    <w:rsid w:val="00DC326D"/>
    <w:rsid w:val="00DC51CC"/>
    <w:rsid w:val="00DC5E63"/>
    <w:rsid w:val="00DC6527"/>
    <w:rsid w:val="00DD4DC3"/>
    <w:rsid w:val="00DD564D"/>
    <w:rsid w:val="00DD6668"/>
    <w:rsid w:val="00DD7648"/>
    <w:rsid w:val="00DE127B"/>
    <w:rsid w:val="00DE137B"/>
    <w:rsid w:val="00DE73C4"/>
    <w:rsid w:val="00DF012F"/>
    <w:rsid w:val="00DF2092"/>
    <w:rsid w:val="00DF46A8"/>
    <w:rsid w:val="00DF4712"/>
    <w:rsid w:val="00DF5479"/>
    <w:rsid w:val="00E07B54"/>
    <w:rsid w:val="00E116DF"/>
    <w:rsid w:val="00E1373A"/>
    <w:rsid w:val="00E162BC"/>
    <w:rsid w:val="00E169A5"/>
    <w:rsid w:val="00E1795D"/>
    <w:rsid w:val="00E20331"/>
    <w:rsid w:val="00E24C1A"/>
    <w:rsid w:val="00E25A95"/>
    <w:rsid w:val="00E25F89"/>
    <w:rsid w:val="00E26C0D"/>
    <w:rsid w:val="00E26E4C"/>
    <w:rsid w:val="00E316B4"/>
    <w:rsid w:val="00E32556"/>
    <w:rsid w:val="00E33DE9"/>
    <w:rsid w:val="00E340E8"/>
    <w:rsid w:val="00E35330"/>
    <w:rsid w:val="00E36261"/>
    <w:rsid w:val="00E37C29"/>
    <w:rsid w:val="00E429C7"/>
    <w:rsid w:val="00E42D9C"/>
    <w:rsid w:val="00E44AEC"/>
    <w:rsid w:val="00E44FE4"/>
    <w:rsid w:val="00E47B8A"/>
    <w:rsid w:val="00E508F6"/>
    <w:rsid w:val="00E50D1C"/>
    <w:rsid w:val="00E5250C"/>
    <w:rsid w:val="00E541BB"/>
    <w:rsid w:val="00E55BA7"/>
    <w:rsid w:val="00E62422"/>
    <w:rsid w:val="00E706B6"/>
    <w:rsid w:val="00E714A9"/>
    <w:rsid w:val="00E73458"/>
    <w:rsid w:val="00E76895"/>
    <w:rsid w:val="00E80CB9"/>
    <w:rsid w:val="00E81077"/>
    <w:rsid w:val="00E8595D"/>
    <w:rsid w:val="00E85FC8"/>
    <w:rsid w:val="00E85FF4"/>
    <w:rsid w:val="00E903D0"/>
    <w:rsid w:val="00E961BB"/>
    <w:rsid w:val="00E97E3B"/>
    <w:rsid w:val="00EA2639"/>
    <w:rsid w:val="00EA2D84"/>
    <w:rsid w:val="00EA4B13"/>
    <w:rsid w:val="00EB14E6"/>
    <w:rsid w:val="00EB1E76"/>
    <w:rsid w:val="00EB2DDB"/>
    <w:rsid w:val="00EB4CCA"/>
    <w:rsid w:val="00EB652D"/>
    <w:rsid w:val="00EB7DDD"/>
    <w:rsid w:val="00EC08FC"/>
    <w:rsid w:val="00EC143C"/>
    <w:rsid w:val="00EC16C7"/>
    <w:rsid w:val="00EC21A7"/>
    <w:rsid w:val="00EC387A"/>
    <w:rsid w:val="00EC581D"/>
    <w:rsid w:val="00EC6907"/>
    <w:rsid w:val="00ED3EBB"/>
    <w:rsid w:val="00ED49B8"/>
    <w:rsid w:val="00ED63CD"/>
    <w:rsid w:val="00EE16E3"/>
    <w:rsid w:val="00EE216C"/>
    <w:rsid w:val="00EE5B3A"/>
    <w:rsid w:val="00EE6B15"/>
    <w:rsid w:val="00EF2309"/>
    <w:rsid w:val="00F02CFF"/>
    <w:rsid w:val="00F03A68"/>
    <w:rsid w:val="00F04C15"/>
    <w:rsid w:val="00F0631F"/>
    <w:rsid w:val="00F10810"/>
    <w:rsid w:val="00F10DBC"/>
    <w:rsid w:val="00F12FB5"/>
    <w:rsid w:val="00F161BE"/>
    <w:rsid w:val="00F20A4F"/>
    <w:rsid w:val="00F21A33"/>
    <w:rsid w:val="00F239A0"/>
    <w:rsid w:val="00F25949"/>
    <w:rsid w:val="00F2675E"/>
    <w:rsid w:val="00F26C34"/>
    <w:rsid w:val="00F37916"/>
    <w:rsid w:val="00F41E2F"/>
    <w:rsid w:val="00F433C7"/>
    <w:rsid w:val="00F434D2"/>
    <w:rsid w:val="00F435D0"/>
    <w:rsid w:val="00F4477C"/>
    <w:rsid w:val="00F44CF6"/>
    <w:rsid w:val="00F45961"/>
    <w:rsid w:val="00F465EA"/>
    <w:rsid w:val="00F52FBC"/>
    <w:rsid w:val="00F54A0F"/>
    <w:rsid w:val="00F560C4"/>
    <w:rsid w:val="00F60D94"/>
    <w:rsid w:val="00F60E4C"/>
    <w:rsid w:val="00F663A6"/>
    <w:rsid w:val="00F66E36"/>
    <w:rsid w:val="00F67F3E"/>
    <w:rsid w:val="00F7012E"/>
    <w:rsid w:val="00F72B09"/>
    <w:rsid w:val="00F742F0"/>
    <w:rsid w:val="00F745C3"/>
    <w:rsid w:val="00F7642F"/>
    <w:rsid w:val="00F77581"/>
    <w:rsid w:val="00F803F0"/>
    <w:rsid w:val="00F81366"/>
    <w:rsid w:val="00F845A1"/>
    <w:rsid w:val="00F91829"/>
    <w:rsid w:val="00F931EF"/>
    <w:rsid w:val="00F93677"/>
    <w:rsid w:val="00F93734"/>
    <w:rsid w:val="00F9686C"/>
    <w:rsid w:val="00FA2364"/>
    <w:rsid w:val="00FA5946"/>
    <w:rsid w:val="00FA66BE"/>
    <w:rsid w:val="00FA7236"/>
    <w:rsid w:val="00FB0F67"/>
    <w:rsid w:val="00FB1FC9"/>
    <w:rsid w:val="00FB6358"/>
    <w:rsid w:val="00FB6703"/>
    <w:rsid w:val="00FC1BE7"/>
    <w:rsid w:val="00FC3B43"/>
    <w:rsid w:val="00FC6380"/>
    <w:rsid w:val="00FD5007"/>
    <w:rsid w:val="00FD5C0F"/>
    <w:rsid w:val="00FE6528"/>
    <w:rsid w:val="00FF2E0F"/>
    <w:rsid w:val="00FF2F98"/>
    <w:rsid w:val="00FF3DAD"/>
    <w:rsid w:val="00FF5E7F"/>
    <w:rsid w:val="01125C02"/>
    <w:rsid w:val="037E1379"/>
    <w:rsid w:val="03D46BC2"/>
    <w:rsid w:val="03DB356A"/>
    <w:rsid w:val="05A33763"/>
    <w:rsid w:val="07612E1A"/>
    <w:rsid w:val="07AC63AF"/>
    <w:rsid w:val="07DF3D76"/>
    <w:rsid w:val="08566C18"/>
    <w:rsid w:val="0A067053"/>
    <w:rsid w:val="0A295164"/>
    <w:rsid w:val="0C0C78C6"/>
    <w:rsid w:val="0DDA38B6"/>
    <w:rsid w:val="1131517E"/>
    <w:rsid w:val="11665C59"/>
    <w:rsid w:val="134321D2"/>
    <w:rsid w:val="134D31B8"/>
    <w:rsid w:val="143F7752"/>
    <w:rsid w:val="1555574B"/>
    <w:rsid w:val="15BF6B3C"/>
    <w:rsid w:val="15FA4E4F"/>
    <w:rsid w:val="167034FF"/>
    <w:rsid w:val="16886BE8"/>
    <w:rsid w:val="16AF0ABA"/>
    <w:rsid w:val="16DE3E1B"/>
    <w:rsid w:val="170A3E8C"/>
    <w:rsid w:val="1794695C"/>
    <w:rsid w:val="17CA5042"/>
    <w:rsid w:val="18506FFF"/>
    <w:rsid w:val="1911682C"/>
    <w:rsid w:val="198E2820"/>
    <w:rsid w:val="19FC4830"/>
    <w:rsid w:val="1A1F279E"/>
    <w:rsid w:val="1A4F17C3"/>
    <w:rsid w:val="1A8B6F2F"/>
    <w:rsid w:val="1C987A35"/>
    <w:rsid w:val="1D6C6C77"/>
    <w:rsid w:val="1D8F6A82"/>
    <w:rsid w:val="1DD72787"/>
    <w:rsid w:val="1EA07DB2"/>
    <w:rsid w:val="1EE76898"/>
    <w:rsid w:val="1F226C43"/>
    <w:rsid w:val="20A83D17"/>
    <w:rsid w:val="215F1D13"/>
    <w:rsid w:val="219C20D9"/>
    <w:rsid w:val="21A173F7"/>
    <w:rsid w:val="22370EC2"/>
    <w:rsid w:val="239F1CFF"/>
    <w:rsid w:val="23CD115B"/>
    <w:rsid w:val="247456EE"/>
    <w:rsid w:val="253D2C4B"/>
    <w:rsid w:val="260F0330"/>
    <w:rsid w:val="267E0D6B"/>
    <w:rsid w:val="268C0966"/>
    <w:rsid w:val="27957E4D"/>
    <w:rsid w:val="28480A58"/>
    <w:rsid w:val="295E3ACA"/>
    <w:rsid w:val="2A010823"/>
    <w:rsid w:val="2A521FA2"/>
    <w:rsid w:val="2AFD1966"/>
    <w:rsid w:val="2B3466C4"/>
    <w:rsid w:val="2BE77897"/>
    <w:rsid w:val="2CB6289E"/>
    <w:rsid w:val="2ECE1EDE"/>
    <w:rsid w:val="2F9A7B4A"/>
    <w:rsid w:val="300C59E3"/>
    <w:rsid w:val="3223028B"/>
    <w:rsid w:val="32E058B6"/>
    <w:rsid w:val="33C5509E"/>
    <w:rsid w:val="34A036EF"/>
    <w:rsid w:val="36327126"/>
    <w:rsid w:val="36E85E80"/>
    <w:rsid w:val="37196FC2"/>
    <w:rsid w:val="372C0235"/>
    <w:rsid w:val="38912FC5"/>
    <w:rsid w:val="38D072D1"/>
    <w:rsid w:val="3B0603E3"/>
    <w:rsid w:val="3B4178AD"/>
    <w:rsid w:val="3B636912"/>
    <w:rsid w:val="3B8B1E0C"/>
    <w:rsid w:val="3BA7685D"/>
    <w:rsid w:val="3BC277C2"/>
    <w:rsid w:val="3CE3671A"/>
    <w:rsid w:val="3D5869A1"/>
    <w:rsid w:val="3D816D3A"/>
    <w:rsid w:val="3DDD1B39"/>
    <w:rsid w:val="3DFA5081"/>
    <w:rsid w:val="3EFC3FA2"/>
    <w:rsid w:val="3F45662D"/>
    <w:rsid w:val="3F4F10A2"/>
    <w:rsid w:val="401F1866"/>
    <w:rsid w:val="417C74DA"/>
    <w:rsid w:val="43D44032"/>
    <w:rsid w:val="448975BE"/>
    <w:rsid w:val="452E2583"/>
    <w:rsid w:val="45434419"/>
    <w:rsid w:val="45F92D5B"/>
    <w:rsid w:val="46823023"/>
    <w:rsid w:val="46B320CE"/>
    <w:rsid w:val="47C966AB"/>
    <w:rsid w:val="47F57F72"/>
    <w:rsid w:val="48495DA0"/>
    <w:rsid w:val="48CC00E3"/>
    <w:rsid w:val="49553812"/>
    <w:rsid w:val="49AC694A"/>
    <w:rsid w:val="49F856C1"/>
    <w:rsid w:val="4A1D4D97"/>
    <w:rsid w:val="4A436875"/>
    <w:rsid w:val="4A5A3DA0"/>
    <w:rsid w:val="4B214F10"/>
    <w:rsid w:val="4E44242A"/>
    <w:rsid w:val="4E4C14BB"/>
    <w:rsid w:val="4E527D18"/>
    <w:rsid w:val="4E66698D"/>
    <w:rsid w:val="4E9634EC"/>
    <w:rsid w:val="4F9A5FE1"/>
    <w:rsid w:val="4FBC520E"/>
    <w:rsid w:val="4FE6479C"/>
    <w:rsid w:val="4FF1108E"/>
    <w:rsid w:val="5024777E"/>
    <w:rsid w:val="50887755"/>
    <w:rsid w:val="50D80AFA"/>
    <w:rsid w:val="517C3FE9"/>
    <w:rsid w:val="51A23D2C"/>
    <w:rsid w:val="520C77E0"/>
    <w:rsid w:val="52CB0DBD"/>
    <w:rsid w:val="52EB1AB9"/>
    <w:rsid w:val="541A7F68"/>
    <w:rsid w:val="544A689D"/>
    <w:rsid w:val="54983C3E"/>
    <w:rsid w:val="55443C79"/>
    <w:rsid w:val="557C63C2"/>
    <w:rsid w:val="55CC73D2"/>
    <w:rsid w:val="57E73FE9"/>
    <w:rsid w:val="581D7AEA"/>
    <w:rsid w:val="58BA062E"/>
    <w:rsid w:val="59845B40"/>
    <w:rsid w:val="59DF74E2"/>
    <w:rsid w:val="5B693460"/>
    <w:rsid w:val="5BCF75ED"/>
    <w:rsid w:val="5C02682D"/>
    <w:rsid w:val="5C5A53EE"/>
    <w:rsid w:val="5C704EF1"/>
    <w:rsid w:val="5CC66C07"/>
    <w:rsid w:val="5CE377E7"/>
    <w:rsid w:val="5FE40938"/>
    <w:rsid w:val="60311E14"/>
    <w:rsid w:val="61321046"/>
    <w:rsid w:val="62A961B5"/>
    <w:rsid w:val="62EF517B"/>
    <w:rsid w:val="630501A1"/>
    <w:rsid w:val="64D019D7"/>
    <w:rsid w:val="657E1EC8"/>
    <w:rsid w:val="663C167E"/>
    <w:rsid w:val="66481148"/>
    <w:rsid w:val="66643C29"/>
    <w:rsid w:val="689D3BD9"/>
    <w:rsid w:val="690F363F"/>
    <w:rsid w:val="696C797B"/>
    <w:rsid w:val="69880D70"/>
    <w:rsid w:val="6D416B32"/>
    <w:rsid w:val="6E0E04D9"/>
    <w:rsid w:val="6EA45B2C"/>
    <w:rsid w:val="6F463BF5"/>
    <w:rsid w:val="70615C6B"/>
    <w:rsid w:val="713B5585"/>
    <w:rsid w:val="729659BE"/>
    <w:rsid w:val="72A64F50"/>
    <w:rsid w:val="72B74D25"/>
    <w:rsid w:val="74E351F8"/>
    <w:rsid w:val="753E695C"/>
    <w:rsid w:val="779D6649"/>
    <w:rsid w:val="77D6151E"/>
    <w:rsid w:val="783E5F33"/>
    <w:rsid w:val="78A2319F"/>
    <w:rsid w:val="79090587"/>
    <w:rsid w:val="79744F9C"/>
    <w:rsid w:val="79B82430"/>
    <w:rsid w:val="7A3D6EC0"/>
    <w:rsid w:val="7B4E26E2"/>
    <w:rsid w:val="7B5E4511"/>
    <w:rsid w:val="7BA0093C"/>
    <w:rsid w:val="7BBB0551"/>
    <w:rsid w:val="7C1327C3"/>
    <w:rsid w:val="7D607BEE"/>
    <w:rsid w:val="7D7A1FE0"/>
    <w:rsid w:val="7ED501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0" w:semiHidden="0"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iPriority="99" w:semiHidden="0" w:name="Document Map"/>
    <w:lsdException w:qFormat="1" w:unhideWhenUsed="0" w:uiPriority="0"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4"/>
      <w:szCs w:val="22"/>
      <w:lang w:val="en-US" w:eastAsia="zh-CN" w:bidi="ar-SA"/>
    </w:rPr>
  </w:style>
  <w:style w:type="paragraph" w:styleId="2">
    <w:name w:val="heading 1"/>
    <w:basedOn w:val="1"/>
    <w:next w:val="1"/>
    <w:link w:val="39"/>
    <w:qFormat/>
    <w:uiPriority w:val="9"/>
    <w:pPr>
      <w:keepNext/>
      <w:keepLines/>
      <w:spacing w:before="340" w:after="330" w:line="578" w:lineRule="auto"/>
      <w:outlineLvl w:val="0"/>
    </w:pPr>
    <w:rPr>
      <w:b/>
      <w:bCs/>
      <w:kern w:val="44"/>
      <w:sz w:val="28"/>
      <w:szCs w:val="44"/>
    </w:rPr>
  </w:style>
  <w:style w:type="paragraph" w:styleId="3">
    <w:name w:val="heading 2"/>
    <w:basedOn w:val="1"/>
    <w:next w:val="1"/>
    <w:link w:val="33"/>
    <w:qFormat/>
    <w:uiPriority w:val="9"/>
    <w:pPr>
      <w:keepNext/>
      <w:keepLines/>
      <w:spacing w:before="260" w:after="260" w:line="416" w:lineRule="auto"/>
      <w:outlineLvl w:val="1"/>
    </w:pPr>
    <w:rPr>
      <w:rFonts w:ascii="Cambria" w:hAnsi="Cambria" w:eastAsia="仿宋"/>
      <w:b/>
      <w:bCs/>
      <w:kern w:val="0"/>
      <w:szCs w:val="32"/>
    </w:rPr>
  </w:style>
  <w:style w:type="paragraph" w:styleId="4">
    <w:name w:val="heading 3"/>
    <w:basedOn w:val="1"/>
    <w:next w:val="1"/>
    <w:link w:val="31"/>
    <w:qFormat/>
    <w:uiPriority w:val="0"/>
    <w:pPr>
      <w:keepNext/>
      <w:keepLines/>
      <w:spacing w:before="260" w:after="260" w:line="416" w:lineRule="auto"/>
      <w:outlineLvl w:val="2"/>
    </w:pPr>
    <w:rPr>
      <w:rFonts w:eastAsia="仿宋"/>
      <w:b/>
      <w:bCs/>
      <w:kern w:val="0"/>
      <w:szCs w:val="32"/>
    </w:rPr>
  </w:style>
  <w:style w:type="paragraph" w:styleId="5">
    <w:name w:val="heading 4"/>
    <w:basedOn w:val="1"/>
    <w:next w:val="1"/>
    <w:link w:val="28"/>
    <w:qFormat/>
    <w:uiPriority w:val="0"/>
    <w:pPr>
      <w:keepNext/>
      <w:keepLines/>
      <w:spacing w:before="280" w:after="290" w:line="376" w:lineRule="auto"/>
      <w:outlineLvl w:val="3"/>
    </w:pPr>
    <w:rPr>
      <w:rFonts w:ascii="Cambria" w:hAnsi="Cambria" w:eastAsia="仿宋"/>
      <w:b/>
      <w:bCs/>
      <w:kern w:val="0"/>
      <w:szCs w:val="28"/>
    </w:rPr>
  </w:style>
  <w:style w:type="character" w:default="1" w:styleId="24">
    <w:name w:val="Default Paragraph Font"/>
    <w:unhideWhenUsed/>
    <w:qFormat/>
    <w:uiPriority w:val="1"/>
  </w:style>
  <w:style w:type="table" w:default="1" w:styleId="27">
    <w:name w:val="Normal Table"/>
    <w:unhideWhenUsed/>
    <w:qFormat/>
    <w:uiPriority w:val="99"/>
    <w:tblPr>
      <w:tblLayout w:type="fixed"/>
      <w:tblCellMar>
        <w:top w:w="0" w:type="dxa"/>
        <w:left w:w="108" w:type="dxa"/>
        <w:bottom w:w="0" w:type="dxa"/>
        <w:right w:w="108" w:type="dxa"/>
      </w:tblCellMar>
    </w:tblPr>
  </w:style>
  <w:style w:type="paragraph" w:styleId="6">
    <w:name w:val="annotation subject"/>
    <w:basedOn w:val="7"/>
    <w:next w:val="7"/>
    <w:link w:val="38"/>
    <w:unhideWhenUsed/>
    <w:qFormat/>
    <w:uiPriority w:val="99"/>
    <w:rPr>
      <w:b/>
      <w:bCs/>
    </w:rPr>
  </w:style>
  <w:style w:type="paragraph" w:styleId="7">
    <w:name w:val="annotation text"/>
    <w:basedOn w:val="1"/>
    <w:link w:val="34"/>
    <w:unhideWhenUsed/>
    <w:qFormat/>
    <w:uiPriority w:val="99"/>
    <w:pPr>
      <w:jc w:val="left"/>
    </w:pPr>
    <w:rPr>
      <w:kern w:val="0"/>
      <w:szCs w:val="20"/>
    </w:rPr>
  </w:style>
  <w:style w:type="paragraph" w:styleId="8">
    <w:name w:val="toc 7"/>
    <w:basedOn w:val="1"/>
    <w:next w:val="1"/>
    <w:unhideWhenUsed/>
    <w:qFormat/>
    <w:uiPriority w:val="39"/>
    <w:pPr>
      <w:ind w:left="2520" w:leftChars="1200"/>
    </w:pPr>
    <w:rPr>
      <w:sz w:val="21"/>
    </w:rPr>
  </w:style>
  <w:style w:type="paragraph" w:styleId="9">
    <w:name w:val="Document Map"/>
    <w:basedOn w:val="1"/>
    <w:link w:val="37"/>
    <w:unhideWhenUsed/>
    <w:qFormat/>
    <w:uiPriority w:val="99"/>
    <w:rPr>
      <w:rFonts w:ascii="宋体"/>
      <w:kern w:val="0"/>
      <w:sz w:val="18"/>
      <w:szCs w:val="18"/>
    </w:rPr>
  </w:style>
  <w:style w:type="paragraph" w:styleId="10">
    <w:name w:val="toc 5"/>
    <w:basedOn w:val="1"/>
    <w:next w:val="1"/>
    <w:unhideWhenUsed/>
    <w:qFormat/>
    <w:uiPriority w:val="39"/>
    <w:pPr>
      <w:ind w:left="1680" w:leftChars="800"/>
    </w:pPr>
    <w:rPr>
      <w:sz w:val="21"/>
    </w:rPr>
  </w:style>
  <w:style w:type="paragraph" w:styleId="11">
    <w:name w:val="toc 3"/>
    <w:basedOn w:val="1"/>
    <w:next w:val="1"/>
    <w:unhideWhenUsed/>
    <w:qFormat/>
    <w:uiPriority w:val="39"/>
    <w:pPr>
      <w:ind w:left="840" w:leftChars="400"/>
    </w:pPr>
  </w:style>
  <w:style w:type="paragraph" w:styleId="12">
    <w:name w:val="Plain Text"/>
    <w:basedOn w:val="1"/>
    <w:link w:val="35"/>
    <w:qFormat/>
    <w:uiPriority w:val="0"/>
    <w:pPr>
      <w:adjustRightInd w:val="0"/>
      <w:snapToGrid w:val="0"/>
      <w:spacing w:line="360" w:lineRule="auto"/>
      <w:ind w:firstLine="640" w:firstLineChars="200"/>
    </w:pPr>
    <w:rPr>
      <w:rFonts w:ascii="宋体" w:hAnsi="Courier New" w:eastAsia="仿宋_GB2312"/>
      <w:kern w:val="0"/>
      <w:sz w:val="32"/>
      <w:szCs w:val="32"/>
    </w:rPr>
  </w:style>
  <w:style w:type="paragraph" w:styleId="13">
    <w:name w:val="toc 8"/>
    <w:basedOn w:val="1"/>
    <w:next w:val="1"/>
    <w:unhideWhenUsed/>
    <w:qFormat/>
    <w:uiPriority w:val="39"/>
    <w:pPr>
      <w:ind w:left="2940" w:leftChars="1400"/>
    </w:pPr>
    <w:rPr>
      <w:sz w:val="21"/>
    </w:rPr>
  </w:style>
  <w:style w:type="paragraph" w:styleId="14">
    <w:name w:val="Date"/>
    <w:basedOn w:val="1"/>
    <w:next w:val="1"/>
    <w:link w:val="43"/>
    <w:unhideWhenUsed/>
    <w:qFormat/>
    <w:uiPriority w:val="99"/>
    <w:pPr>
      <w:ind w:left="100" w:leftChars="2500"/>
    </w:pPr>
  </w:style>
  <w:style w:type="paragraph" w:styleId="15">
    <w:name w:val="Balloon Text"/>
    <w:basedOn w:val="1"/>
    <w:link w:val="30"/>
    <w:unhideWhenUsed/>
    <w:qFormat/>
    <w:uiPriority w:val="99"/>
    <w:rPr>
      <w:kern w:val="0"/>
      <w:sz w:val="18"/>
      <w:szCs w:val="18"/>
    </w:rPr>
  </w:style>
  <w:style w:type="paragraph" w:styleId="16">
    <w:name w:val="footer"/>
    <w:basedOn w:val="1"/>
    <w:link w:val="36"/>
    <w:unhideWhenUsed/>
    <w:qFormat/>
    <w:uiPriority w:val="99"/>
    <w:pPr>
      <w:tabs>
        <w:tab w:val="center" w:pos="4153"/>
        <w:tab w:val="right" w:pos="8306"/>
      </w:tabs>
      <w:snapToGrid w:val="0"/>
      <w:jc w:val="left"/>
    </w:pPr>
    <w:rPr>
      <w:kern w:val="0"/>
      <w:sz w:val="18"/>
      <w:szCs w:val="18"/>
    </w:rPr>
  </w:style>
  <w:style w:type="paragraph" w:styleId="17">
    <w:name w:val="header"/>
    <w:basedOn w:val="1"/>
    <w:link w:val="32"/>
    <w:unhideWhenUsed/>
    <w:qFormat/>
    <w:uiPriority w:val="99"/>
    <w:pPr>
      <w:pBdr>
        <w:bottom w:val="single" w:color="auto" w:sz="6" w:space="1"/>
      </w:pBdr>
      <w:tabs>
        <w:tab w:val="center" w:pos="4153"/>
        <w:tab w:val="right" w:pos="8306"/>
      </w:tabs>
      <w:snapToGrid w:val="0"/>
      <w:jc w:val="center"/>
    </w:pPr>
    <w:rPr>
      <w:kern w:val="0"/>
      <w:sz w:val="18"/>
      <w:szCs w:val="18"/>
    </w:rPr>
  </w:style>
  <w:style w:type="paragraph" w:styleId="18">
    <w:name w:val="toc 1"/>
    <w:basedOn w:val="1"/>
    <w:next w:val="1"/>
    <w:unhideWhenUsed/>
    <w:qFormat/>
    <w:uiPriority w:val="39"/>
  </w:style>
  <w:style w:type="paragraph" w:styleId="19">
    <w:name w:val="toc 4"/>
    <w:basedOn w:val="1"/>
    <w:next w:val="1"/>
    <w:unhideWhenUsed/>
    <w:qFormat/>
    <w:uiPriority w:val="39"/>
    <w:pPr>
      <w:ind w:left="1260" w:leftChars="600"/>
    </w:pPr>
    <w:rPr>
      <w:sz w:val="21"/>
    </w:rPr>
  </w:style>
  <w:style w:type="paragraph" w:styleId="20">
    <w:name w:val="toc 6"/>
    <w:basedOn w:val="1"/>
    <w:next w:val="1"/>
    <w:unhideWhenUsed/>
    <w:qFormat/>
    <w:uiPriority w:val="39"/>
    <w:pPr>
      <w:ind w:left="2100" w:leftChars="1000"/>
    </w:pPr>
    <w:rPr>
      <w:sz w:val="21"/>
    </w:rPr>
  </w:style>
  <w:style w:type="paragraph" w:styleId="21">
    <w:name w:val="toc 2"/>
    <w:basedOn w:val="1"/>
    <w:next w:val="1"/>
    <w:unhideWhenUsed/>
    <w:qFormat/>
    <w:uiPriority w:val="39"/>
    <w:pPr>
      <w:ind w:left="420" w:leftChars="200"/>
    </w:pPr>
  </w:style>
  <w:style w:type="paragraph" w:styleId="22">
    <w:name w:val="toc 9"/>
    <w:basedOn w:val="1"/>
    <w:next w:val="1"/>
    <w:unhideWhenUsed/>
    <w:qFormat/>
    <w:uiPriority w:val="39"/>
    <w:pPr>
      <w:ind w:left="3360" w:leftChars="1600"/>
    </w:pPr>
    <w:rPr>
      <w:sz w:val="21"/>
    </w:rPr>
  </w:style>
  <w:style w:type="paragraph" w:styleId="23">
    <w:name w:val="Normal (Web)"/>
    <w:basedOn w:val="1"/>
    <w:unhideWhenUsed/>
    <w:qFormat/>
    <w:uiPriority w:val="99"/>
    <w:pPr>
      <w:widowControl/>
      <w:spacing w:before="100" w:beforeAutospacing="1" w:after="100" w:afterAutospacing="1"/>
      <w:jc w:val="left"/>
    </w:pPr>
    <w:rPr>
      <w:rFonts w:ascii="宋体" w:hAnsi="宋体" w:cs="宋体"/>
      <w:kern w:val="0"/>
      <w:szCs w:val="24"/>
    </w:rPr>
  </w:style>
  <w:style w:type="character" w:styleId="25">
    <w:name w:val="Hyperlink"/>
    <w:unhideWhenUsed/>
    <w:qFormat/>
    <w:uiPriority w:val="99"/>
    <w:rPr>
      <w:color w:val="0000FF"/>
      <w:u w:val="single"/>
    </w:rPr>
  </w:style>
  <w:style w:type="character" w:styleId="26">
    <w:name w:val="annotation reference"/>
    <w:unhideWhenUsed/>
    <w:qFormat/>
    <w:uiPriority w:val="99"/>
    <w:rPr>
      <w:sz w:val="21"/>
      <w:szCs w:val="21"/>
    </w:rPr>
  </w:style>
  <w:style w:type="character" w:customStyle="1" w:styleId="28">
    <w:name w:val="标题 4 字符"/>
    <w:link w:val="5"/>
    <w:qFormat/>
    <w:uiPriority w:val="0"/>
    <w:rPr>
      <w:rFonts w:ascii="Cambria" w:hAnsi="Cambria" w:eastAsia="仿宋" w:cs="Times New Roman"/>
      <w:b/>
      <w:bCs/>
      <w:sz w:val="24"/>
      <w:szCs w:val="28"/>
    </w:rPr>
  </w:style>
  <w:style w:type="character" w:customStyle="1" w:styleId="29">
    <w:name w:val="s8"/>
    <w:qFormat/>
    <w:uiPriority w:val="0"/>
  </w:style>
  <w:style w:type="character" w:customStyle="1" w:styleId="30">
    <w:name w:val="批注框文本 字符"/>
    <w:link w:val="15"/>
    <w:semiHidden/>
    <w:qFormat/>
    <w:uiPriority w:val="99"/>
    <w:rPr>
      <w:sz w:val="18"/>
      <w:szCs w:val="18"/>
    </w:rPr>
  </w:style>
  <w:style w:type="character" w:customStyle="1" w:styleId="31">
    <w:name w:val="标题 3 字符"/>
    <w:link w:val="4"/>
    <w:qFormat/>
    <w:uiPriority w:val="0"/>
    <w:rPr>
      <w:rFonts w:eastAsia="仿宋"/>
      <w:b/>
      <w:bCs/>
      <w:sz w:val="24"/>
      <w:szCs w:val="32"/>
    </w:rPr>
  </w:style>
  <w:style w:type="character" w:customStyle="1" w:styleId="32">
    <w:name w:val="页眉 字符"/>
    <w:link w:val="17"/>
    <w:qFormat/>
    <w:uiPriority w:val="99"/>
    <w:rPr>
      <w:sz w:val="18"/>
      <w:szCs w:val="18"/>
    </w:rPr>
  </w:style>
  <w:style w:type="character" w:customStyle="1" w:styleId="33">
    <w:name w:val="标题 2 字符"/>
    <w:link w:val="3"/>
    <w:qFormat/>
    <w:uiPriority w:val="9"/>
    <w:rPr>
      <w:rFonts w:ascii="Cambria" w:hAnsi="Cambria" w:eastAsia="仿宋" w:cs="Times New Roman"/>
      <w:b/>
      <w:bCs/>
      <w:sz w:val="24"/>
      <w:szCs w:val="32"/>
    </w:rPr>
  </w:style>
  <w:style w:type="character" w:customStyle="1" w:styleId="34">
    <w:name w:val="批注文字 字符"/>
    <w:link w:val="7"/>
    <w:semiHidden/>
    <w:qFormat/>
    <w:uiPriority w:val="99"/>
    <w:rPr>
      <w:sz w:val="24"/>
    </w:rPr>
  </w:style>
  <w:style w:type="character" w:customStyle="1" w:styleId="35">
    <w:name w:val="纯文本 字符"/>
    <w:link w:val="12"/>
    <w:qFormat/>
    <w:uiPriority w:val="0"/>
    <w:rPr>
      <w:rFonts w:ascii="宋体" w:hAnsi="Courier New" w:eastAsia="仿宋_GB2312" w:cs="Times New Roman"/>
      <w:sz w:val="32"/>
      <w:szCs w:val="32"/>
    </w:rPr>
  </w:style>
  <w:style w:type="character" w:customStyle="1" w:styleId="36">
    <w:name w:val="页脚 字符"/>
    <w:link w:val="16"/>
    <w:qFormat/>
    <w:uiPriority w:val="99"/>
    <w:rPr>
      <w:sz w:val="18"/>
      <w:szCs w:val="18"/>
    </w:rPr>
  </w:style>
  <w:style w:type="character" w:customStyle="1" w:styleId="37">
    <w:name w:val="文档结构图 字符"/>
    <w:link w:val="9"/>
    <w:semiHidden/>
    <w:qFormat/>
    <w:uiPriority w:val="99"/>
    <w:rPr>
      <w:rFonts w:ascii="宋体" w:eastAsia="宋体"/>
      <w:sz w:val="18"/>
      <w:szCs w:val="18"/>
    </w:rPr>
  </w:style>
  <w:style w:type="character" w:customStyle="1" w:styleId="38">
    <w:name w:val="批注主题 字符"/>
    <w:link w:val="6"/>
    <w:semiHidden/>
    <w:qFormat/>
    <w:uiPriority w:val="99"/>
    <w:rPr>
      <w:b/>
      <w:bCs/>
      <w:sz w:val="24"/>
    </w:rPr>
  </w:style>
  <w:style w:type="character" w:customStyle="1" w:styleId="39">
    <w:name w:val="标题 1 字符"/>
    <w:link w:val="2"/>
    <w:qFormat/>
    <w:uiPriority w:val="9"/>
    <w:rPr>
      <w:b/>
      <w:bCs/>
      <w:kern w:val="44"/>
      <w:sz w:val="28"/>
      <w:szCs w:val="44"/>
    </w:rPr>
  </w:style>
  <w:style w:type="paragraph" w:customStyle="1" w:styleId="40">
    <w:name w:val="修订1"/>
    <w:semiHidden/>
    <w:qFormat/>
    <w:uiPriority w:val="99"/>
    <w:rPr>
      <w:rFonts w:ascii="Calibri" w:hAnsi="Calibri" w:eastAsia="宋体" w:cs="Times New Roman"/>
      <w:kern w:val="2"/>
      <w:sz w:val="24"/>
      <w:szCs w:val="22"/>
      <w:lang w:val="en-US" w:eastAsia="zh-CN" w:bidi="ar-SA"/>
    </w:rPr>
  </w:style>
  <w:style w:type="paragraph" w:customStyle="1" w:styleId="41">
    <w:name w:val="列出段落1"/>
    <w:basedOn w:val="1"/>
    <w:qFormat/>
    <w:uiPriority w:val="34"/>
    <w:pPr>
      <w:ind w:firstLine="420" w:firstLineChars="200"/>
    </w:pPr>
  </w:style>
  <w:style w:type="paragraph" w:customStyle="1" w:styleId="42">
    <w:name w:val="机关文件正文"/>
    <w:basedOn w:val="1"/>
    <w:qFormat/>
    <w:uiPriority w:val="0"/>
    <w:pPr>
      <w:spacing w:line="500" w:lineRule="exact"/>
      <w:ind w:firstLine="200" w:firstLineChars="200"/>
    </w:pPr>
    <w:rPr>
      <w:rFonts w:ascii="仿宋_GB2312" w:hAnsi="Times New Roman" w:eastAsia="仿宋_GB2312"/>
      <w:color w:val="000000"/>
      <w:sz w:val="28"/>
      <w:szCs w:val="28"/>
    </w:rPr>
  </w:style>
  <w:style w:type="character" w:customStyle="1" w:styleId="43">
    <w:name w:val="日期 字符"/>
    <w:basedOn w:val="24"/>
    <w:link w:val="14"/>
    <w:semiHidden/>
    <w:qFormat/>
    <w:uiPriority w:val="99"/>
    <w:rPr>
      <w:rFonts w:ascii="Calibri" w:hAnsi="Calibri"/>
      <w:kern w:val="2"/>
      <w:sz w:val="24"/>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86496BC-CD42-425D-9BDF-5504082FA148}">
  <ds:schemaRefs/>
</ds:datastoreItem>
</file>

<file path=docProps/app.xml><?xml version="1.0" encoding="utf-8"?>
<Properties xmlns="http://schemas.openxmlformats.org/officeDocument/2006/extended-properties" xmlns:vt="http://schemas.openxmlformats.org/officeDocument/2006/docPropsVTypes">
  <Template>Normal.dotm</Template>
  <Pages>53</Pages>
  <Words>4408</Words>
  <Characters>25129</Characters>
  <Lines>209</Lines>
  <Paragraphs>58</Paragraphs>
  <ScaleCrop>false</ScaleCrop>
  <LinksUpToDate>false</LinksUpToDate>
  <CharactersWithSpaces>29479</CharactersWithSpaces>
  <Application>WPS Office_10.1.0.7106_F1E327BC-269C-435d-A152-05C5408002CA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2016-11-23T11:05:00Z</dcterms:created>
  <dc:creator>dell</dc:creator>
  <cp:lastModifiedBy>admin</cp:lastModifiedBy>
  <cp:lastPrinted>2018-01-19T07:53:00Z</cp:lastPrinted>
  <dcterms:modified xsi:type="dcterms:W3CDTF">2018-01-19T08:12:58Z</dcterms:modified>
  <cp:revision>53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2052-10.1.0.7106</vt:lpwstr>
  </property>
</Properties>
</file>